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9A7" w:rsidRPr="005C11FF" w:rsidRDefault="009E6074" w:rsidP="00962BB6">
      <w:pPr>
        <w:pStyle w:val="NoSpacing"/>
        <w:rPr>
          <w:b/>
          <w:sz w:val="20"/>
          <w:szCs w:val="20"/>
        </w:rPr>
      </w:pPr>
      <w:r w:rsidRPr="005C11FF">
        <w:rPr>
          <w:b/>
          <w:sz w:val="20"/>
          <w:szCs w:val="20"/>
        </w:rPr>
        <w:t xml:space="preserve">St Mary’s C of E Primary School: Pupil Premium </w:t>
      </w:r>
      <w:r w:rsidR="003A4B1A">
        <w:rPr>
          <w:b/>
          <w:sz w:val="20"/>
          <w:szCs w:val="20"/>
        </w:rPr>
        <w:t>Impact Statement</w:t>
      </w:r>
      <w:r w:rsidRPr="005C11FF">
        <w:rPr>
          <w:b/>
          <w:sz w:val="20"/>
          <w:szCs w:val="20"/>
        </w:rPr>
        <w:t xml:space="preserve"> (201</w:t>
      </w:r>
      <w:r w:rsidR="009D0FD0">
        <w:rPr>
          <w:b/>
          <w:sz w:val="20"/>
          <w:szCs w:val="20"/>
        </w:rPr>
        <w:t>7</w:t>
      </w:r>
      <w:r w:rsidRPr="005C11FF">
        <w:rPr>
          <w:b/>
          <w:sz w:val="20"/>
          <w:szCs w:val="20"/>
        </w:rPr>
        <w:t>-201</w:t>
      </w:r>
      <w:r w:rsidR="009D0FD0">
        <w:rPr>
          <w:b/>
          <w:sz w:val="20"/>
          <w:szCs w:val="20"/>
        </w:rPr>
        <w:t>8</w:t>
      </w:r>
      <w:r w:rsidRPr="005C11FF">
        <w:rPr>
          <w:b/>
          <w:sz w:val="20"/>
          <w:szCs w:val="20"/>
        </w:rPr>
        <w:t>)</w:t>
      </w:r>
    </w:p>
    <w:p w:rsidR="00962BB6" w:rsidRPr="005C11FF" w:rsidRDefault="00962BB6" w:rsidP="00962BB6">
      <w:pPr>
        <w:pStyle w:val="NoSpacing"/>
        <w:rPr>
          <w:sz w:val="20"/>
          <w:szCs w:val="20"/>
        </w:rPr>
      </w:pPr>
    </w:p>
    <w:p w:rsidR="00355209" w:rsidRPr="001F49CB" w:rsidRDefault="009E6074" w:rsidP="00056E7D">
      <w:pPr>
        <w:pStyle w:val="NoSpacing"/>
        <w:rPr>
          <w:sz w:val="20"/>
          <w:szCs w:val="20"/>
        </w:rPr>
      </w:pPr>
      <w:r w:rsidRPr="0066634E">
        <w:rPr>
          <w:sz w:val="20"/>
          <w:szCs w:val="20"/>
        </w:rPr>
        <w:t xml:space="preserve">In </w:t>
      </w:r>
      <w:r w:rsidR="00281C77">
        <w:rPr>
          <w:sz w:val="20"/>
          <w:szCs w:val="20"/>
        </w:rPr>
        <w:t xml:space="preserve">the </w:t>
      </w:r>
      <w:r w:rsidRPr="0066634E">
        <w:rPr>
          <w:sz w:val="20"/>
          <w:szCs w:val="20"/>
        </w:rPr>
        <w:t>201</w:t>
      </w:r>
      <w:r w:rsidR="009D0FD0">
        <w:rPr>
          <w:sz w:val="20"/>
          <w:szCs w:val="20"/>
        </w:rPr>
        <w:t>7</w:t>
      </w:r>
      <w:r w:rsidRPr="0066634E">
        <w:rPr>
          <w:sz w:val="20"/>
          <w:szCs w:val="20"/>
        </w:rPr>
        <w:t>-1</w:t>
      </w:r>
      <w:r w:rsidR="009D0FD0">
        <w:rPr>
          <w:sz w:val="20"/>
          <w:szCs w:val="20"/>
        </w:rPr>
        <w:t>8</w:t>
      </w:r>
      <w:r w:rsidR="00281C77">
        <w:rPr>
          <w:sz w:val="20"/>
          <w:szCs w:val="20"/>
        </w:rPr>
        <w:t xml:space="preserve"> academic year</w:t>
      </w:r>
      <w:r w:rsidRPr="0066634E">
        <w:rPr>
          <w:sz w:val="20"/>
          <w:szCs w:val="20"/>
        </w:rPr>
        <w:t xml:space="preserve">, the school’s </w:t>
      </w:r>
      <w:r w:rsidR="0066634E" w:rsidRPr="0066634E">
        <w:rPr>
          <w:sz w:val="20"/>
          <w:szCs w:val="20"/>
        </w:rPr>
        <w:t xml:space="preserve">total </w:t>
      </w:r>
      <w:r w:rsidRPr="0066634E">
        <w:rPr>
          <w:sz w:val="20"/>
          <w:szCs w:val="20"/>
        </w:rPr>
        <w:t>allocation of Pupil Premium Fun</w:t>
      </w:r>
      <w:r w:rsidR="0066634E" w:rsidRPr="0066634E">
        <w:rPr>
          <w:sz w:val="20"/>
          <w:szCs w:val="20"/>
        </w:rPr>
        <w:t xml:space="preserve">ding was </w:t>
      </w:r>
      <w:r w:rsidR="00D370F4" w:rsidRPr="0066634E">
        <w:rPr>
          <w:b/>
          <w:sz w:val="20"/>
          <w:szCs w:val="20"/>
        </w:rPr>
        <w:t>£</w:t>
      </w:r>
      <w:r w:rsidR="00296A29">
        <w:rPr>
          <w:b/>
          <w:sz w:val="20"/>
          <w:szCs w:val="20"/>
        </w:rPr>
        <w:t>118</w:t>
      </w:r>
      <w:r w:rsidR="00D370F4" w:rsidRPr="0066634E">
        <w:rPr>
          <w:b/>
          <w:sz w:val="20"/>
          <w:szCs w:val="20"/>
        </w:rPr>
        <w:t>,</w:t>
      </w:r>
      <w:r w:rsidR="00296A29">
        <w:rPr>
          <w:b/>
          <w:sz w:val="20"/>
          <w:szCs w:val="20"/>
        </w:rPr>
        <w:t>053</w:t>
      </w:r>
      <w:r w:rsidR="001F49CB">
        <w:rPr>
          <w:b/>
          <w:sz w:val="20"/>
          <w:szCs w:val="20"/>
        </w:rPr>
        <w:t xml:space="preserve">. </w:t>
      </w:r>
      <w:r w:rsidR="00355209" w:rsidRPr="001F49CB">
        <w:rPr>
          <w:sz w:val="20"/>
          <w:szCs w:val="20"/>
        </w:rPr>
        <w:t xml:space="preserve">The funding was allocated to a range of </w:t>
      </w:r>
      <w:r w:rsidR="00962BB6" w:rsidRPr="001F49CB">
        <w:rPr>
          <w:sz w:val="20"/>
          <w:szCs w:val="20"/>
        </w:rPr>
        <w:t>strategies</w:t>
      </w:r>
      <w:r w:rsidR="00D50C2E" w:rsidRPr="001F49CB">
        <w:rPr>
          <w:sz w:val="20"/>
          <w:szCs w:val="20"/>
        </w:rPr>
        <w:t xml:space="preserve"> as shown in the table below:</w:t>
      </w:r>
    </w:p>
    <w:p w:rsidR="00097955" w:rsidRPr="005C11FF" w:rsidRDefault="00097955" w:rsidP="00056E7D">
      <w:pPr>
        <w:pStyle w:val="NoSpacing"/>
        <w:rPr>
          <w:b/>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3510"/>
        <w:gridCol w:w="993"/>
        <w:gridCol w:w="4110"/>
        <w:gridCol w:w="6663"/>
      </w:tblGrid>
      <w:tr w:rsidR="00F54628" w:rsidRPr="005C11FF" w:rsidTr="00F54628">
        <w:trPr>
          <w:trHeight w:val="225"/>
        </w:trPr>
        <w:tc>
          <w:tcPr>
            <w:tcW w:w="3510" w:type="dxa"/>
            <w:tcBorders>
              <w:top w:val="double" w:sz="4" w:space="0" w:color="auto"/>
              <w:left w:val="double" w:sz="4" w:space="0" w:color="auto"/>
            </w:tcBorders>
          </w:tcPr>
          <w:p w:rsidR="00F54628" w:rsidRPr="00F54628" w:rsidRDefault="00F54628" w:rsidP="00F54628">
            <w:pPr>
              <w:pStyle w:val="NoSpacing"/>
              <w:jc w:val="center"/>
              <w:rPr>
                <w:b/>
                <w:sz w:val="20"/>
                <w:szCs w:val="20"/>
              </w:rPr>
            </w:pPr>
            <w:r w:rsidRPr="00F54628">
              <w:rPr>
                <w:b/>
                <w:sz w:val="20"/>
                <w:szCs w:val="20"/>
              </w:rPr>
              <w:t>Initiative</w:t>
            </w:r>
          </w:p>
        </w:tc>
        <w:tc>
          <w:tcPr>
            <w:tcW w:w="993" w:type="dxa"/>
            <w:tcBorders>
              <w:top w:val="double" w:sz="4" w:space="0" w:color="auto"/>
              <w:bottom w:val="single" w:sz="4" w:space="0" w:color="auto"/>
            </w:tcBorders>
          </w:tcPr>
          <w:p w:rsidR="00F54628" w:rsidRPr="00F54628" w:rsidRDefault="00F54628" w:rsidP="00F54628">
            <w:pPr>
              <w:pStyle w:val="NoSpacing"/>
              <w:jc w:val="center"/>
              <w:rPr>
                <w:b/>
                <w:sz w:val="20"/>
                <w:szCs w:val="20"/>
              </w:rPr>
            </w:pPr>
            <w:r w:rsidRPr="00F54628">
              <w:rPr>
                <w:b/>
                <w:sz w:val="20"/>
                <w:szCs w:val="20"/>
              </w:rPr>
              <w:t>Cost</w:t>
            </w:r>
          </w:p>
        </w:tc>
        <w:tc>
          <w:tcPr>
            <w:tcW w:w="4110" w:type="dxa"/>
            <w:tcBorders>
              <w:top w:val="double" w:sz="4" w:space="0" w:color="auto"/>
              <w:bottom w:val="single" w:sz="4" w:space="0" w:color="auto"/>
            </w:tcBorders>
          </w:tcPr>
          <w:p w:rsidR="00F54628" w:rsidRPr="00F54628" w:rsidRDefault="00F54628" w:rsidP="00F54628">
            <w:pPr>
              <w:pStyle w:val="NoSpacing"/>
              <w:jc w:val="center"/>
              <w:rPr>
                <w:b/>
                <w:sz w:val="20"/>
                <w:szCs w:val="20"/>
              </w:rPr>
            </w:pPr>
            <w:r w:rsidRPr="00F54628">
              <w:rPr>
                <w:b/>
                <w:sz w:val="20"/>
                <w:szCs w:val="20"/>
              </w:rPr>
              <w:t>Method</w:t>
            </w:r>
          </w:p>
        </w:tc>
        <w:tc>
          <w:tcPr>
            <w:tcW w:w="6663" w:type="dxa"/>
            <w:tcBorders>
              <w:top w:val="double" w:sz="4" w:space="0" w:color="auto"/>
              <w:bottom w:val="single" w:sz="4" w:space="0" w:color="auto"/>
              <w:right w:val="double" w:sz="4" w:space="0" w:color="auto"/>
            </w:tcBorders>
            <w:shd w:val="clear" w:color="auto" w:fill="auto"/>
          </w:tcPr>
          <w:p w:rsidR="00F54628" w:rsidRPr="00F54628" w:rsidRDefault="00F54628" w:rsidP="00F54628">
            <w:pPr>
              <w:pStyle w:val="NoSpacing"/>
              <w:jc w:val="center"/>
              <w:rPr>
                <w:b/>
                <w:sz w:val="20"/>
                <w:szCs w:val="20"/>
              </w:rPr>
            </w:pPr>
            <w:r w:rsidRPr="00F54628">
              <w:rPr>
                <w:b/>
                <w:sz w:val="20"/>
                <w:szCs w:val="20"/>
              </w:rPr>
              <w:t>Impact</w:t>
            </w:r>
          </w:p>
        </w:tc>
      </w:tr>
      <w:tr w:rsidR="009D0FD0" w:rsidRPr="005C11FF" w:rsidTr="00F54628">
        <w:trPr>
          <w:trHeight w:val="1485"/>
        </w:trPr>
        <w:tc>
          <w:tcPr>
            <w:tcW w:w="3510" w:type="dxa"/>
            <w:tcBorders>
              <w:top w:val="single" w:sz="4" w:space="0" w:color="auto"/>
              <w:left w:val="double" w:sz="4" w:space="0" w:color="auto"/>
            </w:tcBorders>
          </w:tcPr>
          <w:p w:rsidR="009D0FD0" w:rsidRDefault="009D0FD0" w:rsidP="009D0FD0">
            <w:pPr>
              <w:spacing w:after="0" w:line="240" w:lineRule="auto"/>
              <w:rPr>
                <w:b/>
                <w:sz w:val="20"/>
                <w:szCs w:val="20"/>
              </w:rPr>
            </w:pPr>
            <w:r w:rsidRPr="00097955">
              <w:rPr>
                <w:b/>
                <w:sz w:val="20"/>
                <w:szCs w:val="20"/>
              </w:rPr>
              <w:t>Staffing to support small group and 1:1</w:t>
            </w:r>
            <w:r>
              <w:rPr>
                <w:b/>
                <w:sz w:val="20"/>
                <w:szCs w:val="20"/>
              </w:rPr>
              <w:t xml:space="preserve"> teaching</w:t>
            </w:r>
            <w:r w:rsidRPr="00097955">
              <w:rPr>
                <w:b/>
                <w:sz w:val="20"/>
                <w:szCs w:val="20"/>
              </w:rPr>
              <w:t>. This also enables prompt action to be taken where there are pastoral concerns becau</w:t>
            </w:r>
            <w:r>
              <w:rPr>
                <w:b/>
                <w:sz w:val="20"/>
                <w:szCs w:val="20"/>
              </w:rPr>
              <w:t>se the adults know the children well</w:t>
            </w:r>
            <w:r w:rsidRPr="00097955">
              <w:rPr>
                <w:b/>
                <w:sz w:val="20"/>
                <w:szCs w:val="20"/>
              </w:rPr>
              <w:t xml:space="preserve">. </w:t>
            </w:r>
          </w:p>
          <w:p w:rsidR="009D0FD0" w:rsidRDefault="009D0FD0" w:rsidP="009D0FD0">
            <w:pPr>
              <w:spacing w:after="0" w:line="240" w:lineRule="auto"/>
              <w:rPr>
                <w:i/>
                <w:sz w:val="20"/>
                <w:szCs w:val="20"/>
                <w:u w:val="single"/>
              </w:rPr>
            </w:pPr>
            <w:r w:rsidRPr="00C870A1">
              <w:rPr>
                <w:i/>
                <w:sz w:val="20"/>
                <w:szCs w:val="20"/>
                <w:u w:val="single"/>
              </w:rPr>
              <w:t>A high proportion of these pupils require ‘catch-up’ programmes to access the curriculum for the subsequent year group</w:t>
            </w:r>
            <w:r>
              <w:rPr>
                <w:i/>
                <w:sz w:val="20"/>
                <w:szCs w:val="20"/>
                <w:u w:val="single"/>
              </w:rPr>
              <w:t xml:space="preserve"> and support to develop the skills required for their age</w:t>
            </w:r>
            <w:r w:rsidRPr="00C870A1">
              <w:rPr>
                <w:i/>
                <w:sz w:val="20"/>
                <w:szCs w:val="20"/>
                <w:u w:val="single"/>
              </w:rPr>
              <w:t>.</w:t>
            </w:r>
          </w:p>
          <w:p w:rsidR="005703D3" w:rsidRPr="00C870A1" w:rsidRDefault="005703D3" w:rsidP="009D0FD0">
            <w:pPr>
              <w:spacing w:after="0" w:line="240" w:lineRule="auto"/>
              <w:rPr>
                <w:b/>
                <w:i/>
                <w:sz w:val="20"/>
                <w:szCs w:val="20"/>
              </w:rPr>
            </w:pPr>
          </w:p>
        </w:tc>
        <w:tc>
          <w:tcPr>
            <w:tcW w:w="993" w:type="dxa"/>
            <w:tcBorders>
              <w:top w:val="single" w:sz="4" w:space="0" w:color="auto"/>
              <w:bottom w:val="single" w:sz="4" w:space="0" w:color="auto"/>
            </w:tcBorders>
          </w:tcPr>
          <w:p w:rsidR="009D0FD0" w:rsidRDefault="009D0FD0" w:rsidP="003F5130">
            <w:pPr>
              <w:spacing w:after="0"/>
              <w:jc w:val="center"/>
              <w:rPr>
                <w:sz w:val="20"/>
                <w:szCs w:val="20"/>
              </w:rPr>
            </w:pPr>
            <w:r w:rsidRPr="00097955">
              <w:rPr>
                <w:sz w:val="20"/>
                <w:szCs w:val="20"/>
              </w:rPr>
              <w:t>£</w:t>
            </w:r>
            <w:r w:rsidR="003F5130">
              <w:rPr>
                <w:sz w:val="20"/>
                <w:szCs w:val="20"/>
              </w:rPr>
              <w:t>94,123</w:t>
            </w:r>
          </w:p>
        </w:tc>
        <w:tc>
          <w:tcPr>
            <w:tcW w:w="4110" w:type="dxa"/>
            <w:tcBorders>
              <w:top w:val="single" w:sz="4" w:space="0" w:color="auto"/>
              <w:bottom w:val="single" w:sz="4" w:space="0" w:color="auto"/>
            </w:tcBorders>
          </w:tcPr>
          <w:p w:rsidR="009D0FD0" w:rsidRDefault="009D0FD0" w:rsidP="009D0FD0">
            <w:pPr>
              <w:spacing w:after="0"/>
              <w:rPr>
                <w:sz w:val="20"/>
                <w:szCs w:val="20"/>
              </w:rPr>
            </w:pPr>
            <w:r w:rsidRPr="00097955">
              <w:rPr>
                <w:sz w:val="20"/>
                <w:szCs w:val="20"/>
              </w:rPr>
              <w:t>Intervention groups led by teachers and teaching assistants in R, Wr and Ma.</w:t>
            </w:r>
          </w:p>
          <w:p w:rsidR="009D0FD0" w:rsidRDefault="009D0FD0" w:rsidP="009D0FD0">
            <w:pPr>
              <w:spacing w:after="0"/>
              <w:rPr>
                <w:sz w:val="20"/>
                <w:szCs w:val="20"/>
              </w:rPr>
            </w:pPr>
          </w:p>
        </w:tc>
        <w:tc>
          <w:tcPr>
            <w:tcW w:w="6663" w:type="dxa"/>
            <w:tcBorders>
              <w:top w:val="single" w:sz="4" w:space="0" w:color="auto"/>
              <w:bottom w:val="single" w:sz="4" w:space="0" w:color="auto"/>
              <w:right w:val="double" w:sz="4" w:space="0" w:color="auto"/>
            </w:tcBorders>
            <w:shd w:val="clear" w:color="auto" w:fill="auto"/>
          </w:tcPr>
          <w:p w:rsidR="006547A8" w:rsidRPr="000540F0" w:rsidRDefault="000540F0" w:rsidP="006547A8">
            <w:pPr>
              <w:spacing w:after="0"/>
              <w:rPr>
                <w:sz w:val="18"/>
                <w:szCs w:val="18"/>
              </w:rPr>
            </w:pPr>
            <w:r w:rsidRPr="000540F0">
              <w:rPr>
                <w:sz w:val="18"/>
                <w:szCs w:val="18"/>
              </w:rPr>
              <w:t>Please see detailed breakdown below.</w:t>
            </w:r>
          </w:p>
          <w:p w:rsidR="009D0FD0" w:rsidRPr="006547A8" w:rsidRDefault="009D0FD0" w:rsidP="005703D3">
            <w:pPr>
              <w:spacing w:after="0"/>
              <w:rPr>
                <w:sz w:val="20"/>
                <w:szCs w:val="20"/>
              </w:rPr>
            </w:pPr>
          </w:p>
        </w:tc>
      </w:tr>
      <w:tr w:rsidR="009D0FD0" w:rsidRPr="005C11FF" w:rsidTr="00097955">
        <w:tc>
          <w:tcPr>
            <w:tcW w:w="3510" w:type="dxa"/>
            <w:tcBorders>
              <w:left w:val="double" w:sz="4" w:space="0" w:color="auto"/>
            </w:tcBorders>
          </w:tcPr>
          <w:p w:rsidR="009D0FD0" w:rsidRDefault="009D0FD0" w:rsidP="009D0FD0">
            <w:pPr>
              <w:spacing w:after="0" w:line="240" w:lineRule="auto"/>
              <w:rPr>
                <w:b/>
                <w:sz w:val="20"/>
                <w:szCs w:val="20"/>
              </w:rPr>
            </w:pPr>
            <w:r>
              <w:rPr>
                <w:b/>
                <w:sz w:val="20"/>
                <w:szCs w:val="20"/>
              </w:rPr>
              <w:t>Par</w:t>
            </w:r>
            <w:r w:rsidRPr="00097955">
              <w:rPr>
                <w:b/>
                <w:sz w:val="20"/>
                <w:szCs w:val="20"/>
              </w:rPr>
              <w:t>t</w:t>
            </w:r>
            <w:r>
              <w:rPr>
                <w:b/>
                <w:sz w:val="20"/>
                <w:szCs w:val="20"/>
              </w:rPr>
              <w:t>icipation in Beanstalk Volunteer Reader scheme to support targeted LAC pupils with individual reading tuition</w:t>
            </w:r>
            <w:r w:rsidRPr="00097955">
              <w:rPr>
                <w:b/>
                <w:sz w:val="20"/>
                <w:szCs w:val="20"/>
              </w:rPr>
              <w:t>.</w:t>
            </w:r>
            <w:r>
              <w:rPr>
                <w:b/>
                <w:sz w:val="20"/>
                <w:szCs w:val="20"/>
              </w:rPr>
              <w:t xml:space="preserve"> </w:t>
            </w:r>
          </w:p>
          <w:p w:rsidR="009D0FD0" w:rsidRDefault="009D0FD0" w:rsidP="009D0FD0">
            <w:pPr>
              <w:spacing w:after="0" w:line="240" w:lineRule="auto"/>
              <w:rPr>
                <w:b/>
                <w:sz w:val="20"/>
                <w:szCs w:val="20"/>
              </w:rPr>
            </w:pPr>
            <w:r w:rsidRPr="00C870A1">
              <w:rPr>
                <w:i/>
                <w:sz w:val="20"/>
                <w:szCs w:val="20"/>
                <w:u w:val="single"/>
              </w:rPr>
              <w:t>These pupils require a greater degree of support to develop their confidence</w:t>
            </w:r>
            <w:r>
              <w:rPr>
                <w:i/>
                <w:sz w:val="20"/>
                <w:szCs w:val="20"/>
                <w:u w:val="single"/>
              </w:rPr>
              <w:t>, their enjoyment of reading</w:t>
            </w:r>
            <w:r w:rsidRPr="00C870A1">
              <w:rPr>
                <w:i/>
                <w:sz w:val="20"/>
                <w:szCs w:val="20"/>
                <w:u w:val="single"/>
              </w:rPr>
              <w:t xml:space="preserve"> and </w:t>
            </w:r>
            <w:r>
              <w:rPr>
                <w:i/>
                <w:sz w:val="20"/>
                <w:szCs w:val="20"/>
                <w:u w:val="single"/>
              </w:rPr>
              <w:t xml:space="preserve">their </w:t>
            </w:r>
            <w:r w:rsidRPr="00C870A1">
              <w:rPr>
                <w:i/>
                <w:sz w:val="20"/>
                <w:szCs w:val="20"/>
                <w:u w:val="single"/>
              </w:rPr>
              <w:t>skills of inference.</w:t>
            </w:r>
            <w:r>
              <w:rPr>
                <w:b/>
                <w:sz w:val="20"/>
                <w:szCs w:val="20"/>
              </w:rPr>
              <w:t xml:space="preserve"> </w:t>
            </w:r>
          </w:p>
          <w:p w:rsidR="005703D3" w:rsidRPr="00097955" w:rsidRDefault="005703D3" w:rsidP="009D0FD0">
            <w:pPr>
              <w:spacing w:after="0" w:line="240" w:lineRule="auto"/>
              <w:rPr>
                <w:b/>
                <w:sz w:val="20"/>
                <w:szCs w:val="20"/>
              </w:rPr>
            </w:pPr>
          </w:p>
        </w:tc>
        <w:tc>
          <w:tcPr>
            <w:tcW w:w="993" w:type="dxa"/>
            <w:tcBorders>
              <w:top w:val="single" w:sz="4" w:space="0" w:color="auto"/>
              <w:bottom w:val="single" w:sz="4" w:space="0" w:color="auto"/>
            </w:tcBorders>
          </w:tcPr>
          <w:p w:rsidR="009D0FD0" w:rsidRPr="00097955" w:rsidRDefault="009D0FD0" w:rsidP="003F5130">
            <w:pPr>
              <w:spacing w:after="0"/>
              <w:jc w:val="center"/>
              <w:rPr>
                <w:sz w:val="20"/>
                <w:szCs w:val="20"/>
              </w:rPr>
            </w:pPr>
            <w:r w:rsidRPr="00097955">
              <w:rPr>
                <w:sz w:val="20"/>
                <w:szCs w:val="20"/>
              </w:rPr>
              <w:t>£</w:t>
            </w:r>
            <w:r w:rsidR="003F5130">
              <w:rPr>
                <w:sz w:val="20"/>
                <w:szCs w:val="20"/>
              </w:rPr>
              <w:t>7</w:t>
            </w:r>
            <w:r>
              <w:rPr>
                <w:sz w:val="20"/>
                <w:szCs w:val="20"/>
              </w:rPr>
              <w:t>00</w:t>
            </w:r>
          </w:p>
        </w:tc>
        <w:tc>
          <w:tcPr>
            <w:tcW w:w="4110" w:type="dxa"/>
            <w:tcBorders>
              <w:top w:val="single" w:sz="4" w:space="0" w:color="auto"/>
              <w:bottom w:val="single" w:sz="4" w:space="0" w:color="auto"/>
            </w:tcBorders>
          </w:tcPr>
          <w:p w:rsidR="009D0FD0" w:rsidRPr="00097955" w:rsidRDefault="009D0FD0" w:rsidP="009D0FD0">
            <w:pPr>
              <w:spacing w:after="0"/>
              <w:rPr>
                <w:sz w:val="20"/>
                <w:szCs w:val="20"/>
              </w:rPr>
            </w:pPr>
            <w:r>
              <w:rPr>
                <w:sz w:val="20"/>
                <w:szCs w:val="20"/>
              </w:rPr>
              <w:t>Weekly 1:1 reading tuition throughout the Autumn and Spring term</w:t>
            </w:r>
            <w:r w:rsidRPr="00097955">
              <w:rPr>
                <w:sz w:val="20"/>
                <w:szCs w:val="20"/>
              </w:rPr>
              <w:t>.</w:t>
            </w:r>
          </w:p>
        </w:tc>
        <w:tc>
          <w:tcPr>
            <w:tcW w:w="6663" w:type="dxa"/>
            <w:tcBorders>
              <w:top w:val="single" w:sz="4" w:space="0" w:color="auto"/>
              <w:bottom w:val="single" w:sz="4" w:space="0" w:color="auto"/>
              <w:right w:val="double" w:sz="4" w:space="0" w:color="auto"/>
            </w:tcBorders>
            <w:shd w:val="clear" w:color="auto" w:fill="auto"/>
          </w:tcPr>
          <w:p w:rsidR="009D0FD0" w:rsidRPr="00097955" w:rsidRDefault="009D0FD0" w:rsidP="009D0FD0">
            <w:pPr>
              <w:spacing w:after="0"/>
              <w:ind w:right="128"/>
              <w:rPr>
                <w:sz w:val="20"/>
                <w:szCs w:val="20"/>
              </w:rPr>
            </w:pPr>
            <w:r w:rsidRPr="00097955">
              <w:rPr>
                <w:sz w:val="20"/>
                <w:szCs w:val="20"/>
              </w:rPr>
              <w:t>Reading standards improving</w:t>
            </w:r>
            <w:r>
              <w:rPr>
                <w:sz w:val="20"/>
                <w:szCs w:val="20"/>
              </w:rPr>
              <w:t xml:space="preserve"> for each child</w:t>
            </w:r>
            <w:r w:rsidRPr="00097955">
              <w:rPr>
                <w:sz w:val="20"/>
                <w:szCs w:val="20"/>
              </w:rPr>
              <w:t>.</w:t>
            </w:r>
            <w:r>
              <w:rPr>
                <w:sz w:val="20"/>
                <w:szCs w:val="20"/>
              </w:rPr>
              <w:t xml:space="preserve"> A positive and engaged attitude to reading evident with the impact of this being seen in pupils’ writing.</w:t>
            </w:r>
          </w:p>
        </w:tc>
      </w:tr>
      <w:tr w:rsidR="009D0FD0" w:rsidRPr="005C11FF" w:rsidTr="00097955">
        <w:trPr>
          <w:trHeight w:val="670"/>
        </w:trPr>
        <w:tc>
          <w:tcPr>
            <w:tcW w:w="3510" w:type="dxa"/>
            <w:tcBorders>
              <w:left w:val="double" w:sz="4" w:space="0" w:color="auto"/>
            </w:tcBorders>
          </w:tcPr>
          <w:p w:rsidR="009D0FD0" w:rsidRDefault="009D0FD0" w:rsidP="009D0FD0">
            <w:pPr>
              <w:spacing w:after="0"/>
              <w:rPr>
                <w:b/>
                <w:sz w:val="20"/>
                <w:szCs w:val="20"/>
              </w:rPr>
            </w:pPr>
            <w:r w:rsidRPr="00097955">
              <w:rPr>
                <w:b/>
                <w:sz w:val="20"/>
                <w:szCs w:val="20"/>
              </w:rPr>
              <w:t>Provision of pastoral service to raise self-esteem for pupils and provide family support.</w:t>
            </w:r>
          </w:p>
          <w:p w:rsidR="009D0FD0" w:rsidRDefault="009D0FD0" w:rsidP="009D0FD0">
            <w:pPr>
              <w:spacing w:after="0"/>
              <w:rPr>
                <w:b/>
                <w:i/>
                <w:sz w:val="20"/>
                <w:szCs w:val="20"/>
              </w:rPr>
            </w:pPr>
            <w:r w:rsidRPr="00C870A1">
              <w:rPr>
                <w:i/>
                <w:sz w:val="20"/>
                <w:szCs w:val="20"/>
                <w:u w:val="single"/>
              </w:rPr>
              <w:t xml:space="preserve">Many pupils lack confidence and </w:t>
            </w:r>
            <w:r>
              <w:rPr>
                <w:i/>
                <w:sz w:val="20"/>
                <w:szCs w:val="20"/>
                <w:u w:val="single"/>
              </w:rPr>
              <w:t xml:space="preserve">their </w:t>
            </w:r>
            <w:r w:rsidRPr="00C870A1">
              <w:rPr>
                <w:i/>
                <w:sz w:val="20"/>
                <w:szCs w:val="20"/>
                <w:u w:val="single"/>
              </w:rPr>
              <w:t>families, whilst willing to support their child</w:t>
            </w:r>
            <w:r>
              <w:rPr>
                <w:i/>
                <w:sz w:val="20"/>
                <w:szCs w:val="20"/>
                <w:u w:val="single"/>
              </w:rPr>
              <w:t xml:space="preserve">, </w:t>
            </w:r>
            <w:r w:rsidRPr="00C870A1">
              <w:rPr>
                <w:i/>
                <w:sz w:val="20"/>
                <w:szCs w:val="20"/>
                <w:u w:val="single"/>
              </w:rPr>
              <w:t xml:space="preserve">need advice and guidance to maximise </w:t>
            </w:r>
            <w:r>
              <w:rPr>
                <w:i/>
                <w:sz w:val="20"/>
                <w:szCs w:val="20"/>
                <w:u w:val="single"/>
              </w:rPr>
              <w:t>their</w:t>
            </w:r>
            <w:r w:rsidRPr="00C870A1">
              <w:rPr>
                <w:i/>
                <w:sz w:val="20"/>
                <w:szCs w:val="20"/>
                <w:u w:val="single"/>
              </w:rPr>
              <w:t xml:space="preserve"> effectiveness.</w:t>
            </w:r>
            <w:r w:rsidRPr="00C870A1">
              <w:rPr>
                <w:b/>
                <w:i/>
                <w:sz w:val="20"/>
                <w:szCs w:val="20"/>
              </w:rPr>
              <w:t xml:space="preserve"> </w:t>
            </w:r>
          </w:p>
          <w:p w:rsidR="005703D3" w:rsidRPr="00C870A1" w:rsidRDefault="005703D3" w:rsidP="009D0FD0">
            <w:pPr>
              <w:spacing w:after="0"/>
              <w:rPr>
                <w:b/>
                <w:i/>
                <w:sz w:val="20"/>
                <w:szCs w:val="20"/>
              </w:rPr>
            </w:pPr>
          </w:p>
        </w:tc>
        <w:tc>
          <w:tcPr>
            <w:tcW w:w="993" w:type="dxa"/>
            <w:tcBorders>
              <w:top w:val="single" w:sz="4" w:space="0" w:color="auto"/>
              <w:bottom w:val="single" w:sz="4" w:space="0" w:color="auto"/>
            </w:tcBorders>
          </w:tcPr>
          <w:p w:rsidR="009D0FD0" w:rsidRPr="00097955" w:rsidRDefault="009D0FD0" w:rsidP="003F5130">
            <w:pPr>
              <w:spacing w:after="0"/>
              <w:jc w:val="center"/>
              <w:rPr>
                <w:sz w:val="20"/>
                <w:szCs w:val="20"/>
              </w:rPr>
            </w:pPr>
            <w:r w:rsidRPr="00097955">
              <w:rPr>
                <w:sz w:val="20"/>
                <w:szCs w:val="20"/>
              </w:rPr>
              <w:t>£</w:t>
            </w:r>
            <w:r>
              <w:rPr>
                <w:sz w:val="20"/>
                <w:szCs w:val="20"/>
              </w:rPr>
              <w:t>1</w:t>
            </w:r>
            <w:r w:rsidR="003F5130">
              <w:rPr>
                <w:sz w:val="20"/>
                <w:szCs w:val="20"/>
              </w:rPr>
              <w:t>5</w:t>
            </w:r>
            <w:r>
              <w:rPr>
                <w:sz w:val="20"/>
                <w:szCs w:val="20"/>
              </w:rPr>
              <w:t>,</w:t>
            </w:r>
            <w:r w:rsidR="003F5130">
              <w:rPr>
                <w:sz w:val="20"/>
                <w:szCs w:val="20"/>
              </w:rPr>
              <w:t>030</w:t>
            </w:r>
          </w:p>
        </w:tc>
        <w:tc>
          <w:tcPr>
            <w:tcW w:w="4110" w:type="dxa"/>
            <w:tcBorders>
              <w:top w:val="single" w:sz="4" w:space="0" w:color="auto"/>
              <w:bottom w:val="single" w:sz="4" w:space="0" w:color="auto"/>
            </w:tcBorders>
          </w:tcPr>
          <w:p w:rsidR="009D0FD0" w:rsidRPr="00097955" w:rsidRDefault="009D0FD0" w:rsidP="00857D5B">
            <w:pPr>
              <w:spacing w:after="0"/>
              <w:rPr>
                <w:sz w:val="20"/>
                <w:szCs w:val="20"/>
              </w:rPr>
            </w:pPr>
            <w:r>
              <w:rPr>
                <w:sz w:val="20"/>
                <w:szCs w:val="20"/>
              </w:rPr>
              <w:t>Extended p</w:t>
            </w:r>
            <w:r w:rsidRPr="00097955">
              <w:rPr>
                <w:sz w:val="20"/>
                <w:szCs w:val="20"/>
              </w:rPr>
              <w:t xml:space="preserve">ackage </w:t>
            </w:r>
            <w:r>
              <w:rPr>
                <w:sz w:val="20"/>
                <w:szCs w:val="20"/>
              </w:rPr>
              <w:t xml:space="preserve">of </w:t>
            </w:r>
            <w:r w:rsidRPr="00097955">
              <w:rPr>
                <w:sz w:val="20"/>
                <w:szCs w:val="20"/>
              </w:rPr>
              <w:t xml:space="preserve">1:1 support for pupils and </w:t>
            </w:r>
            <w:r>
              <w:rPr>
                <w:sz w:val="20"/>
                <w:szCs w:val="20"/>
              </w:rPr>
              <w:t>carers to cater for the increased level of need seen in school, the increase in the number o</w:t>
            </w:r>
            <w:r w:rsidR="00857D5B">
              <w:rPr>
                <w:sz w:val="20"/>
                <w:szCs w:val="20"/>
              </w:rPr>
              <w:t>n</w:t>
            </w:r>
            <w:r>
              <w:rPr>
                <w:sz w:val="20"/>
                <w:szCs w:val="20"/>
              </w:rPr>
              <w:t xml:space="preserve"> roll and the changing nature of younger cohorts compared to those seen historically.</w:t>
            </w:r>
          </w:p>
        </w:tc>
        <w:tc>
          <w:tcPr>
            <w:tcW w:w="6663" w:type="dxa"/>
            <w:tcBorders>
              <w:top w:val="single" w:sz="4" w:space="0" w:color="auto"/>
              <w:bottom w:val="single" w:sz="4" w:space="0" w:color="auto"/>
              <w:right w:val="double" w:sz="4" w:space="0" w:color="auto"/>
            </w:tcBorders>
            <w:shd w:val="clear" w:color="auto" w:fill="auto"/>
          </w:tcPr>
          <w:p w:rsidR="009D0FD0" w:rsidRPr="00097955" w:rsidRDefault="009D0FD0" w:rsidP="009D0FD0">
            <w:pPr>
              <w:spacing w:after="0"/>
              <w:ind w:right="128"/>
              <w:rPr>
                <w:sz w:val="20"/>
                <w:szCs w:val="20"/>
              </w:rPr>
            </w:pPr>
            <w:r w:rsidRPr="00097955">
              <w:rPr>
                <w:sz w:val="20"/>
                <w:szCs w:val="20"/>
              </w:rPr>
              <w:t>Support in place and being provided for children an</w:t>
            </w:r>
            <w:r>
              <w:rPr>
                <w:sz w:val="20"/>
                <w:szCs w:val="20"/>
              </w:rPr>
              <w:t xml:space="preserve">d families. Self-confidence of children </w:t>
            </w:r>
            <w:r w:rsidRPr="00097955">
              <w:rPr>
                <w:sz w:val="20"/>
                <w:szCs w:val="20"/>
              </w:rPr>
              <w:t>improved and engagement</w:t>
            </w:r>
            <w:r>
              <w:rPr>
                <w:sz w:val="20"/>
                <w:szCs w:val="20"/>
              </w:rPr>
              <w:t xml:space="preserve"> of families</w:t>
            </w:r>
            <w:r w:rsidRPr="00097955">
              <w:rPr>
                <w:sz w:val="20"/>
                <w:szCs w:val="20"/>
              </w:rPr>
              <w:t xml:space="preserve"> is good.</w:t>
            </w:r>
          </w:p>
        </w:tc>
      </w:tr>
      <w:tr w:rsidR="009D0FD0" w:rsidRPr="005C11FF" w:rsidTr="00097955">
        <w:trPr>
          <w:trHeight w:val="249"/>
        </w:trPr>
        <w:tc>
          <w:tcPr>
            <w:tcW w:w="3510" w:type="dxa"/>
            <w:tcBorders>
              <w:left w:val="double" w:sz="4" w:space="0" w:color="auto"/>
            </w:tcBorders>
          </w:tcPr>
          <w:p w:rsidR="009D0FD0" w:rsidRDefault="009D0FD0" w:rsidP="009D0FD0">
            <w:pPr>
              <w:spacing w:after="0"/>
              <w:rPr>
                <w:b/>
                <w:sz w:val="20"/>
                <w:szCs w:val="20"/>
              </w:rPr>
            </w:pPr>
            <w:r>
              <w:rPr>
                <w:b/>
                <w:sz w:val="20"/>
                <w:szCs w:val="20"/>
              </w:rPr>
              <w:t xml:space="preserve">Employment of </w:t>
            </w:r>
            <w:r w:rsidRPr="00097955">
              <w:rPr>
                <w:b/>
                <w:sz w:val="20"/>
                <w:szCs w:val="20"/>
              </w:rPr>
              <w:t xml:space="preserve">Speech and Language Therapist. </w:t>
            </w:r>
          </w:p>
          <w:p w:rsidR="009D0FD0" w:rsidRPr="00C870A1" w:rsidRDefault="009D0FD0" w:rsidP="009D0FD0">
            <w:pPr>
              <w:spacing w:after="0"/>
              <w:rPr>
                <w:b/>
                <w:i/>
                <w:sz w:val="20"/>
                <w:szCs w:val="20"/>
              </w:rPr>
            </w:pPr>
            <w:r w:rsidRPr="00C870A1">
              <w:rPr>
                <w:i/>
                <w:sz w:val="20"/>
                <w:szCs w:val="20"/>
                <w:u w:val="single"/>
              </w:rPr>
              <w:t>There are some eligible pupils who lack key speech and language skills that compromise their access to the curriculum.</w:t>
            </w:r>
          </w:p>
        </w:tc>
        <w:tc>
          <w:tcPr>
            <w:tcW w:w="993" w:type="dxa"/>
            <w:tcBorders>
              <w:top w:val="single" w:sz="4" w:space="0" w:color="auto"/>
              <w:bottom w:val="single" w:sz="4" w:space="0" w:color="auto"/>
            </w:tcBorders>
          </w:tcPr>
          <w:p w:rsidR="009D0FD0" w:rsidRPr="00097955" w:rsidRDefault="009D0FD0" w:rsidP="003F5130">
            <w:pPr>
              <w:spacing w:after="0"/>
              <w:jc w:val="center"/>
              <w:rPr>
                <w:sz w:val="20"/>
                <w:szCs w:val="20"/>
              </w:rPr>
            </w:pPr>
            <w:r w:rsidRPr="00097955">
              <w:rPr>
                <w:sz w:val="20"/>
                <w:szCs w:val="20"/>
              </w:rPr>
              <w:t>£</w:t>
            </w:r>
            <w:r w:rsidR="003F5130">
              <w:rPr>
                <w:sz w:val="20"/>
                <w:szCs w:val="20"/>
              </w:rPr>
              <w:t>3,700</w:t>
            </w:r>
          </w:p>
        </w:tc>
        <w:tc>
          <w:tcPr>
            <w:tcW w:w="4110" w:type="dxa"/>
            <w:tcBorders>
              <w:top w:val="single" w:sz="4" w:space="0" w:color="auto"/>
              <w:bottom w:val="single" w:sz="4" w:space="0" w:color="auto"/>
            </w:tcBorders>
          </w:tcPr>
          <w:p w:rsidR="009D0FD0" w:rsidRPr="00097955" w:rsidRDefault="009D0FD0" w:rsidP="009D0FD0">
            <w:pPr>
              <w:spacing w:after="0"/>
              <w:rPr>
                <w:sz w:val="20"/>
                <w:szCs w:val="20"/>
              </w:rPr>
            </w:pPr>
            <w:r w:rsidRPr="00097955">
              <w:rPr>
                <w:sz w:val="20"/>
                <w:szCs w:val="20"/>
              </w:rPr>
              <w:t>Therapist works in school for 0.5 days per week with individual pupils and families.</w:t>
            </w:r>
          </w:p>
        </w:tc>
        <w:tc>
          <w:tcPr>
            <w:tcW w:w="6663" w:type="dxa"/>
            <w:tcBorders>
              <w:top w:val="single" w:sz="4" w:space="0" w:color="auto"/>
              <w:bottom w:val="single" w:sz="4" w:space="0" w:color="auto"/>
              <w:right w:val="double" w:sz="4" w:space="0" w:color="auto"/>
            </w:tcBorders>
            <w:shd w:val="clear" w:color="auto" w:fill="auto"/>
          </w:tcPr>
          <w:p w:rsidR="009D0FD0" w:rsidRPr="00097955" w:rsidRDefault="009D0FD0" w:rsidP="009D0FD0">
            <w:pPr>
              <w:spacing w:after="0"/>
              <w:ind w:right="128"/>
              <w:rPr>
                <w:sz w:val="20"/>
                <w:szCs w:val="20"/>
              </w:rPr>
            </w:pPr>
            <w:r>
              <w:rPr>
                <w:sz w:val="20"/>
                <w:szCs w:val="20"/>
              </w:rPr>
              <w:t>Access to curriculum improved; self-esteem and confidence of pupils increased; strategies complement those interventions already in place; families able to support learning at home</w:t>
            </w:r>
            <w:r w:rsidRPr="00097955">
              <w:rPr>
                <w:sz w:val="20"/>
                <w:szCs w:val="20"/>
              </w:rPr>
              <w:t>.</w:t>
            </w:r>
          </w:p>
        </w:tc>
      </w:tr>
      <w:tr w:rsidR="009D0FD0" w:rsidRPr="005C11FF" w:rsidTr="00097955">
        <w:trPr>
          <w:trHeight w:val="413"/>
        </w:trPr>
        <w:tc>
          <w:tcPr>
            <w:tcW w:w="3510" w:type="dxa"/>
            <w:tcBorders>
              <w:left w:val="double" w:sz="4" w:space="0" w:color="auto"/>
              <w:bottom w:val="single" w:sz="4" w:space="0" w:color="auto"/>
            </w:tcBorders>
          </w:tcPr>
          <w:p w:rsidR="009D0FD0" w:rsidRDefault="009D0FD0" w:rsidP="009D0FD0">
            <w:pPr>
              <w:spacing w:after="0" w:line="240" w:lineRule="auto"/>
              <w:rPr>
                <w:b/>
                <w:sz w:val="20"/>
                <w:szCs w:val="20"/>
              </w:rPr>
            </w:pPr>
            <w:r w:rsidRPr="00097955">
              <w:rPr>
                <w:b/>
                <w:sz w:val="20"/>
                <w:szCs w:val="20"/>
              </w:rPr>
              <w:lastRenderedPageBreak/>
              <w:t>Subsidies for educational visits, music tuition and transport to sporting and academic competitions.</w:t>
            </w:r>
          </w:p>
          <w:p w:rsidR="009D0FD0" w:rsidRDefault="009D0FD0" w:rsidP="009D0FD0">
            <w:pPr>
              <w:spacing w:after="0" w:line="240" w:lineRule="auto"/>
              <w:rPr>
                <w:i/>
                <w:sz w:val="20"/>
                <w:szCs w:val="20"/>
                <w:u w:val="single"/>
              </w:rPr>
            </w:pPr>
            <w:r w:rsidRPr="00C870A1">
              <w:rPr>
                <w:i/>
                <w:sz w:val="20"/>
                <w:szCs w:val="20"/>
                <w:u w:val="single"/>
              </w:rPr>
              <w:t>These are an important part of the school’s curriculum provision and there are circumstances where families are unable to fund these. This strategy ensures equity of access.</w:t>
            </w:r>
          </w:p>
          <w:p w:rsidR="005703D3" w:rsidRPr="00C870A1" w:rsidRDefault="005703D3" w:rsidP="009D0FD0">
            <w:pPr>
              <w:spacing w:after="0" w:line="240" w:lineRule="auto"/>
              <w:rPr>
                <w:i/>
                <w:sz w:val="20"/>
                <w:szCs w:val="20"/>
                <w:u w:val="single"/>
              </w:rPr>
            </w:pPr>
          </w:p>
        </w:tc>
        <w:tc>
          <w:tcPr>
            <w:tcW w:w="993" w:type="dxa"/>
            <w:tcBorders>
              <w:top w:val="single" w:sz="4" w:space="0" w:color="auto"/>
              <w:bottom w:val="single" w:sz="4" w:space="0" w:color="auto"/>
            </w:tcBorders>
          </w:tcPr>
          <w:p w:rsidR="009D0FD0" w:rsidRPr="00097955" w:rsidRDefault="009D0FD0" w:rsidP="009D0FD0">
            <w:pPr>
              <w:spacing w:after="0"/>
              <w:jc w:val="center"/>
              <w:rPr>
                <w:sz w:val="20"/>
                <w:szCs w:val="20"/>
              </w:rPr>
            </w:pPr>
            <w:r w:rsidRPr="00097955">
              <w:rPr>
                <w:sz w:val="20"/>
                <w:szCs w:val="20"/>
              </w:rPr>
              <w:t>£2,</w:t>
            </w:r>
            <w:r>
              <w:rPr>
                <w:sz w:val="20"/>
                <w:szCs w:val="20"/>
              </w:rPr>
              <w:t>500</w:t>
            </w:r>
          </w:p>
        </w:tc>
        <w:tc>
          <w:tcPr>
            <w:tcW w:w="4110" w:type="dxa"/>
            <w:tcBorders>
              <w:top w:val="single" w:sz="4" w:space="0" w:color="auto"/>
              <w:bottom w:val="single" w:sz="4" w:space="0" w:color="auto"/>
            </w:tcBorders>
          </w:tcPr>
          <w:p w:rsidR="009D0FD0" w:rsidRPr="00097955" w:rsidRDefault="009D0FD0" w:rsidP="009D0FD0">
            <w:pPr>
              <w:spacing w:after="0"/>
              <w:rPr>
                <w:sz w:val="20"/>
                <w:szCs w:val="20"/>
              </w:rPr>
            </w:pPr>
            <w:r w:rsidRPr="00097955">
              <w:rPr>
                <w:sz w:val="20"/>
                <w:szCs w:val="20"/>
              </w:rPr>
              <w:t>Provision allows equal access for all to wider curriculum opportunities.</w:t>
            </w:r>
          </w:p>
        </w:tc>
        <w:tc>
          <w:tcPr>
            <w:tcW w:w="6663" w:type="dxa"/>
            <w:tcBorders>
              <w:top w:val="single" w:sz="4" w:space="0" w:color="auto"/>
              <w:bottom w:val="single" w:sz="4" w:space="0" w:color="auto"/>
              <w:right w:val="double" w:sz="4" w:space="0" w:color="auto"/>
            </w:tcBorders>
            <w:shd w:val="clear" w:color="auto" w:fill="auto"/>
          </w:tcPr>
          <w:p w:rsidR="009D0FD0" w:rsidRPr="00097955" w:rsidRDefault="009D0FD0" w:rsidP="009D0FD0">
            <w:pPr>
              <w:spacing w:after="0"/>
              <w:ind w:right="128"/>
              <w:rPr>
                <w:sz w:val="20"/>
                <w:szCs w:val="20"/>
              </w:rPr>
            </w:pPr>
            <w:r>
              <w:rPr>
                <w:sz w:val="20"/>
                <w:szCs w:val="20"/>
              </w:rPr>
              <w:t xml:space="preserve">The school is able to support full participation in </w:t>
            </w:r>
            <w:r w:rsidRPr="00097955">
              <w:rPr>
                <w:sz w:val="20"/>
                <w:szCs w:val="20"/>
              </w:rPr>
              <w:t xml:space="preserve">visits linked to </w:t>
            </w:r>
            <w:r>
              <w:rPr>
                <w:sz w:val="20"/>
                <w:szCs w:val="20"/>
              </w:rPr>
              <w:t xml:space="preserve">the </w:t>
            </w:r>
            <w:r w:rsidRPr="00097955">
              <w:rPr>
                <w:sz w:val="20"/>
                <w:szCs w:val="20"/>
              </w:rPr>
              <w:t xml:space="preserve">curriculum </w:t>
            </w:r>
            <w:r>
              <w:rPr>
                <w:sz w:val="20"/>
                <w:szCs w:val="20"/>
              </w:rPr>
              <w:t xml:space="preserve">for specific families and fees for music tuition. These will include </w:t>
            </w:r>
            <w:r w:rsidRPr="00097955">
              <w:rPr>
                <w:sz w:val="20"/>
                <w:szCs w:val="20"/>
              </w:rPr>
              <w:t>off-site sporting activities, competitions and residential visits.</w:t>
            </w:r>
          </w:p>
        </w:tc>
      </w:tr>
      <w:tr w:rsidR="009D0FD0" w:rsidRPr="005C11FF" w:rsidTr="00281C77">
        <w:trPr>
          <w:trHeight w:val="885"/>
        </w:trPr>
        <w:tc>
          <w:tcPr>
            <w:tcW w:w="3510" w:type="dxa"/>
            <w:tcBorders>
              <w:left w:val="double" w:sz="4" w:space="0" w:color="auto"/>
            </w:tcBorders>
          </w:tcPr>
          <w:p w:rsidR="009D0FD0" w:rsidRDefault="009D0FD0" w:rsidP="009D0FD0">
            <w:pPr>
              <w:spacing w:after="0"/>
              <w:rPr>
                <w:b/>
                <w:sz w:val="20"/>
                <w:szCs w:val="20"/>
              </w:rPr>
            </w:pPr>
            <w:r w:rsidRPr="00097955">
              <w:rPr>
                <w:b/>
                <w:sz w:val="20"/>
                <w:szCs w:val="20"/>
              </w:rPr>
              <w:t xml:space="preserve">Cover for pastoral </w:t>
            </w:r>
            <w:r>
              <w:rPr>
                <w:b/>
                <w:sz w:val="20"/>
                <w:szCs w:val="20"/>
              </w:rPr>
              <w:t xml:space="preserve">and pupil progress </w:t>
            </w:r>
            <w:r w:rsidRPr="00097955">
              <w:rPr>
                <w:b/>
                <w:sz w:val="20"/>
                <w:szCs w:val="20"/>
              </w:rPr>
              <w:t xml:space="preserve">meetings every term between </w:t>
            </w:r>
            <w:r>
              <w:rPr>
                <w:b/>
                <w:sz w:val="20"/>
                <w:szCs w:val="20"/>
              </w:rPr>
              <w:t>school leaders</w:t>
            </w:r>
            <w:r w:rsidRPr="00097955">
              <w:rPr>
                <w:b/>
                <w:sz w:val="20"/>
                <w:szCs w:val="20"/>
              </w:rPr>
              <w:t xml:space="preserve"> and teachers.</w:t>
            </w:r>
          </w:p>
          <w:p w:rsidR="009D0FD0" w:rsidRDefault="009D0FD0" w:rsidP="009D0FD0">
            <w:pPr>
              <w:spacing w:after="0"/>
              <w:rPr>
                <w:i/>
                <w:sz w:val="20"/>
                <w:szCs w:val="20"/>
                <w:u w:val="single"/>
              </w:rPr>
            </w:pPr>
            <w:r w:rsidRPr="000529B0">
              <w:rPr>
                <w:i/>
                <w:sz w:val="20"/>
                <w:szCs w:val="20"/>
                <w:u w:val="single"/>
              </w:rPr>
              <w:t xml:space="preserve">The monitoring and discussion of the pupils’ academic and personal development is critical in enabling adults to meet children’s needs effectively, to share information and to implement strategies that address the different barriers to learning identified above.  </w:t>
            </w:r>
          </w:p>
          <w:p w:rsidR="005703D3" w:rsidRPr="002E029E" w:rsidRDefault="005703D3" w:rsidP="009D0FD0">
            <w:pPr>
              <w:spacing w:after="0"/>
              <w:rPr>
                <w:i/>
                <w:sz w:val="20"/>
                <w:szCs w:val="20"/>
                <w:u w:val="single"/>
              </w:rPr>
            </w:pPr>
          </w:p>
        </w:tc>
        <w:tc>
          <w:tcPr>
            <w:tcW w:w="993" w:type="dxa"/>
            <w:tcBorders>
              <w:top w:val="single" w:sz="4" w:space="0" w:color="auto"/>
              <w:bottom w:val="single" w:sz="4" w:space="0" w:color="auto"/>
            </w:tcBorders>
          </w:tcPr>
          <w:p w:rsidR="009D0FD0" w:rsidRPr="00097955" w:rsidRDefault="009D0FD0" w:rsidP="009D0FD0">
            <w:pPr>
              <w:spacing w:after="0"/>
              <w:jc w:val="center"/>
              <w:rPr>
                <w:sz w:val="20"/>
                <w:szCs w:val="20"/>
              </w:rPr>
            </w:pPr>
            <w:r>
              <w:rPr>
                <w:sz w:val="20"/>
                <w:szCs w:val="20"/>
              </w:rPr>
              <w:t>£2,00</w:t>
            </w:r>
            <w:r w:rsidRPr="00097955">
              <w:rPr>
                <w:sz w:val="20"/>
                <w:szCs w:val="20"/>
              </w:rPr>
              <w:t>0</w:t>
            </w:r>
          </w:p>
        </w:tc>
        <w:tc>
          <w:tcPr>
            <w:tcW w:w="4110" w:type="dxa"/>
            <w:tcBorders>
              <w:top w:val="single" w:sz="4" w:space="0" w:color="auto"/>
              <w:bottom w:val="single" w:sz="4" w:space="0" w:color="auto"/>
            </w:tcBorders>
          </w:tcPr>
          <w:p w:rsidR="009D0FD0" w:rsidRPr="00097955" w:rsidRDefault="009D0FD0" w:rsidP="009D0FD0">
            <w:pPr>
              <w:spacing w:after="0"/>
              <w:rPr>
                <w:sz w:val="20"/>
                <w:szCs w:val="20"/>
              </w:rPr>
            </w:pPr>
            <w:r w:rsidRPr="00097955">
              <w:rPr>
                <w:sz w:val="20"/>
                <w:szCs w:val="20"/>
              </w:rPr>
              <w:t>Agenda focuses on academic progress, emotional well-being and actions to improve performance.</w:t>
            </w:r>
          </w:p>
        </w:tc>
        <w:tc>
          <w:tcPr>
            <w:tcW w:w="6663" w:type="dxa"/>
            <w:tcBorders>
              <w:top w:val="single" w:sz="4" w:space="0" w:color="auto"/>
              <w:bottom w:val="single" w:sz="4" w:space="0" w:color="auto"/>
              <w:right w:val="double" w:sz="4" w:space="0" w:color="auto"/>
            </w:tcBorders>
            <w:shd w:val="clear" w:color="auto" w:fill="auto"/>
          </w:tcPr>
          <w:p w:rsidR="009D0FD0" w:rsidRPr="00097955" w:rsidRDefault="009D0FD0" w:rsidP="009D0FD0">
            <w:pPr>
              <w:spacing w:after="0"/>
              <w:ind w:right="128"/>
              <w:rPr>
                <w:sz w:val="20"/>
                <w:szCs w:val="20"/>
              </w:rPr>
            </w:pPr>
            <w:r>
              <w:rPr>
                <w:sz w:val="20"/>
                <w:szCs w:val="20"/>
              </w:rPr>
              <w:t xml:space="preserve">Pupils meeting the National Standard for their age. </w:t>
            </w:r>
            <w:r w:rsidRPr="00097955">
              <w:rPr>
                <w:sz w:val="20"/>
                <w:szCs w:val="20"/>
              </w:rPr>
              <w:t>Teachers delivering</w:t>
            </w:r>
            <w:r>
              <w:rPr>
                <w:sz w:val="20"/>
                <w:szCs w:val="20"/>
              </w:rPr>
              <w:t xml:space="preserve"> effective</w:t>
            </w:r>
            <w:r w:rsidRPr="00097955">
              <w:rPr>
                <w:sz w:val="20"/>
                <w:szCs w:val="20"/>
              </w:rPr>
              <w:t xml:space="preserve"> strategies to improve competency and progress in basic skills as well as </w:t>
            </w:r>
            <w:r>
              <w:rPr>
                <w:sz w:val="20"/>
                <w:szCs w:val="20"/>
              </w:rPr>
              <w:t>employing</w:t>
            </w:r>
            <w:r w:rsidRPr="00097955">
              <w:rPr>
                <w:sz w:val="20"/>
                <w:szCs w:val="20"/>
              </w:rPr>
              <w:t xml:space="preserve"> strategies to remove barriers to learning.</w:t>
            </w:r>
          </w:p>
        </w:tc>
      </w:tr>
    </w:tbl>
    <w:p w:rsidR="00097955" w:rsidRDefault="00097955">
      <w:pPr>
        <w:rPr>
          <w:sz w:val="20"/>
          <w:szCs w:val="20"/>
        </w:rPr>
      </w:pPr>
    </w:p>
    <w:p w:rsidR="009D0FD0" w:rsidRDefault="009D0FD0">
      <w:pPr>
        <w:rPr>
          <w:sz w:val="20"/>
          <w:szCs w:val="20"/>
        </w:rPr>
      </w:pPr>
    </w:p>
    <w:p w:rsidR="009D0FD0" w:rsidRDefault="009D0FD0">
      <w:pPr>
        <w:rPr>
          <w:sz w:val="20"/>
          <w:szCs w:val="20"/>
        </w:rPr>
      </w:pPr>
    </w:p>
    <w:p w:rsidR="009D0FD0" w:rsidRDefault="009D0FD0">
      <w:pPr>
        <w:rPr>
          <w:sz w:val="20"/>
          <w:szCs w:val="20"/>
        </w:rPr>
      </w:pPr>
    </w:p>
    <w:p w:rsidR="009D0FD0" w:rsidRDefault="009D0FD0">
      <w:pPr>
        <w:rPr>
          <w:sz w:val="20"/>
          <w:szCs w:val="20"/>
        </w:rPr>
      </w:pPr>
    </w:p>
    <w:p w:rsidR="009D0FD0" w:rsidRDefault="009D0FD0">
      <w:pPr>
        <w:rPr>
          <w:sz w:val="20"/>
          <w:szCs w:val="20"/>
        </w:rPr>
      </w:pPr>
    </w:p>
    <w:p w:rsidR="009D0FD0" w:rsidRDefault="009D0FD0">
      <w:pPr>
        <w:rPr>
          <w:sz w:val="20"/>
          <w:szCs w:val="20"/>
        </w:rPr>
      </w:pPr>
    </w:p>
    <w:p w:rsidR="009D0FD0" w:rsidRDefault="009D0FD0">
      <w:pPr>
        <w:rPr>
          <w:sz w:val="20"/>
          <w:szCs w:val="20"/>
        </w:rPr>
      </w:pPr>
    </w:p>
    <w:p w:rsidR="009D0FD0" w:rsidRDefault="009D0FD0">
      <w:pPr>
        <w:rPr>
          <w:sz w:val="20"/>
          <w:szCs w:val="20"/>
        </w:rPr>
      </w:pPr>
    </w:p>
    <w:p w:rsidR="009D0FD0" w:rsidRDefault="009D0FD0">
      <w:pPr>
        <w:rPr>
          <w:sz w:val="20"/>
          <w:szCs w:val="20"/>
        </w:rPr>
      </w:pPr>
    </w:p>
    <w:p w:rsidR="003C0E41" w:rsidRPr="000540F0" w:rsidRDefault="000540F0" w:rsidP="003C0E41">
      <w:pPr>
        <w:rPr>
          <w:b/>
          <w:sz w:val="20"/>
          <w:szCs w:val="20"/>
          <w:u w:val="single"/>
        </w:rPr>
      </w:pPr>
      <w:r>
        <w:rPr>
          <w:b/>
          <w:sz w:val="20"/>
          <w:szCs w:val="20"/>
          <w:u w:val="single"/>
        </w:rPr>
        <w:lastRenderedPageBreak/>
        <w:t>Performance of Disadvantaged Pupils at Statutory Assessment Points</w:t>
      </w:r>
      <w:r w:rsidR="00185E94">
        <w:rPr>
          <w:b/>
          <w:sz w:val="20"/>
          <w:szCs w:val="20"/>
          <w:u w:val="single"/>
        </w:rPr>
        <w:t xml:space="preserve"> (2017/2018)</w:t>
      </w:r>
      <w:r w:rsidR="003C0E41" w:rsidRPr="000540F0">
        <w:rPr>
          <w:b/>
          <w:sz w:val="20"/>
          <w:szCs w:val="20"/>
          <w:u w:val="single"/>
        </w:rPr>
        <w:t xml:space="preserve"> </w:t>
      </w:r>
    </w:p>
    <w:p w:rsidR="004C70E0" w:rsidRPr="003C0E41" w:rsidRDefault="004C70E0" w:rsidP="003C0E41">
      <w:pPr>
        <w:pStyle w:val="NoSpacing"/>
        <w:rPr>
          <w:b/>
          <w:sz w:val="20"/>
          <w:szCs w:val="20"/>
          <w:highlight w:val="yellow"/>
        </w:rPr>
      </w:pPr>
      <w:r w:rsidRPr="003C0E41">
        <w:rPr>
          <w:b/>
          <w:sz w:val="20"/>
          <w:szCs w:val="20"/>
          <w:highlight w:val="yellow"/>
        </w:rPr>
        <w:t>EYFS</w:t>
      </w:r>
    </w:p>
    <w:p w:rsidR="004C70E0" w:rsidRDefault="004B0001" w:rsidP="004C70E0">
      <w:pPr>
        <w:pStyle w:val="NoSpacing"/>
        <w:rPr>
          <w:b/>
          <w:sz w:val="20"/>
          <w:szCs w:val="20"/>
        </w:rPr>
      </w:pPr>
      <w:r>
        <w:rPr>
          <w:b/>
          <w:sz w:val="20"/>
          <w:szCs w:val="20"/>
        </w:rPr>
        <w:t>EYFS Profile - 4</w:t>
      </w:r>
      <w:r w:rsidR="004C70E0">
        <w:rPr>
          <w:b/>
          <w:sz w:val="20"/>
          <w:szCs w:val="20"/>
        </w:rPr>
        <w:t xml:space="preserve"> pupils</w:t>
      </w:r>
      <w:r w:rsidR="004C70E0" w:rsidRPr="005C11FF">
        <w:rPr>
          <w:b/>
          <w:sz w:val="20"/>
          <w:szCs w:val="20"/>
        </w:rPr>
        <w:t xml:space="preserve"> (</w:t>
      </w:r>
      <w:r w:rsidR="004C70E0">
        <w:rPr>
          <w:b/>
          <w:sz w:val="20"/>
          <w:szCs w:val="20"/>
        </w:rPr>
        <w:t>% meeting the expected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1843"/>
        <w:gridCol w:w="1984"/>
        <w:gridCol w:w="1701"/>
        <w:gridCol w:w="2268"/>
      </w:tblGrid>
      <w:tr w:rsidR="004C70E0" w:rsidRPr="005C11FF" w:rsidTr="000540F0">
        <w:tc>
          <w:tcPr>
            <w:tcW w:w="4106" w:type="dxa"/>
            <w:gridSpan w:val="2"/>
          </w:tcPr>
          <w:p w:rsidR="004C70E0" w:rsidRPr="005C11FF" w:rsidRDefault="00F525F3" w:rsidP="00B7065D">
            <w:pPr>
              <w:pStyle w:val="NoSpacing"/>
              <w:jc w:val="center"/>
              <w:rPr>
                <w:b/>
                <w:sz w:val="20"/>
                <w:szCs w:val="20"/>
              </w:rPr>
            </w:pPr>
            <w:r>
              <w:rPr>
                <w:b/>
                <w:sz w:val="20"/>
                <w:szCs w:val="20"/>
              </w:rPr>
              <w:t>CLL</w:t>
            </w:r>
          </w:p>
        </w:tc>
        <w:tc>
          <w:tcPr>
            <w:tcW w:w="3827" w:type="dxa"/>
            <w:gridSpan w:val="2"/>
          </w:tcPr>
          <w:p w:rsidR="004C70E0" w:rsidRPr="005C11FF" w:rsidRDefault="00F525F3" w:rsidP="00B7065D">
            <w:pPr>
              <w:pStyle w:val="NoSpacing"/>
              <w:jc w:val="center"/>
              <w:rPr>
                <w:b/>
                <w:sz w:val="20"/>
                <w:szCs w:val="20"/>
              </w:rPr>
            </w:pPr>
            <w:r>
              <w:rPr>
                <w:b/>
                <w:sz w:val="20"/>
                <w:szCs w:val="20"/>
              </w:rPr>
              <w:t>Literacy</w:t>
            </w:r>
          </w:p>
        </w:tc>
        <w:tc>
          <w:tcPr>
            <w:tcW w:w="3969" w:type="dxa"/>
            <w:gridSpan w:val="2"/>
          </w:tcPr>
          <w:p w:rsidR="004C70E0" w:rsidRPr="005C11FF" w:rsidRDefault="00F525F3" w:rsidP="00B7065D">
            <w:pPr>
              <w:pStyle w:val="NoSpacing"/>
              <w:jc w:val="center"/>
              <w:rPr>
                <w:b/>
                <w:sz w:val="20"/>
                <w:szCs w:val="20"/>
              </w:rPr>
            </w:pPr>
            <w:r>
              <w:rPr>
                <w:b/>
                <w:sz w:val="20"/>
                <w:szCs w:val="20"/>
              </w:rPr>
              <w:t>Mathematics</w:t>
            </w:r>
          </w:p>
        </w:tc>
      </w:tr>
      <w:tr w:rsidR="000540F0" w:rsidRPr="005C11FF" w:rsidTr="000540F0">
        <w:tc>
          <w:tcPr>
            <w:tcW w:w="2122" w:type="dxa"/>
            <w:shd w:val="clear" w:color="auto" w:fill="DBE5F1"/>
          </w:tcPr>
          <w:p w:rsidR="000540F0" w:rsidRPr="008018A3" w:rsidRDefault="000540F0" w:rsidP="00B7065D">
            <w:pPr>
              <w:pStyle w:val="NoSpacing"/>
              <w:jc w:val="center"/>
              <w:rPr>
                <w:b/>
                <w:sz w:val="20"/>
                <w:szCs w:val="20"/>
              </w:rPr>
            </w:pPr>
            <w:r w:rsidRPr="008018A3">
              <w:rPr>
                <w:b/>
                <w:sz w:val="20"/>
                <w:szCs w:val="20"/>
              </w:rPr>
              <w:t>Group</w:t>
            </w:r>
          </w:p>
        </w:tc>
        <w:tc>
          <w:tcPr>
            <w:tcW w:w="1984" w:type="dxa"/>
          </w:tcPr>
          <w:p w:rsidR="000540F0" w:rsidRPr="008018A3" w:rsidRDefault="000540F0" w:rsidP="00F525F3">
            <w:pPr>
              <w:pStyle w:val="NoSpacing"/>
              <w:jc w:val="center"/>
              <w:rPr>
                <w:b/>
                <w:sz w:val="20"/>
                <w:szCs w:val="20"/>
              </w:rPr>
            </w:pPr>
            <w:r>
              <w:rPr>
                <w:b/>
                <w:sz w:val="20"/>
                <w:szCs w:val="20"/>
              </w:rPr>
              <w:t>National Benchmark</w:t>
            </w:r>
          </w:p>
        </w:tc>
        <w:tc>
          <w:tcPr>
            <w:tcW w:w="1843" w:type="dxa"/>
            <w:shd w:val="clear" w:color="auto" w:fill="DBE5F1"/>
          </w:tcPr>
          <w:p w:rsidR="000540F0" w:rsidRPr="008018A3" w:rsidRDefault="000540F0" w:rsidP="00B7065D">
            <w:pPr>
              <w:pStyle w:val="NoSpacing"/>
              <w:jc w:val="center"/>
              <w:rPr>
                <w:b/>
                <w:sz w:val="20"/>
                <w:szCs w:val="20"/>
              </w:rPr>
            </w:pPr>
            <w:r w:rsidRPr="008018A3">
              <w:rPr>
                <w:b/>
                <w:sz w:val="20"/>
                <w:szCs w:val="20"/>
              </w:rPr>
              <w:t>Group</w:t>
            </w:r>
          </w:p>
        </w:tc>
        <w:tc>
          <w:tcPr>
            <w:tcW w:w="1984" w:type="dxa"/>
          </w:tcPr>
          <w:p w:rsidR="000540F0" w:rsidRPr="008018A3" w:rsidRDefault="000540F0" w:rsidP="000540F0">
            <w:pPr>
              <w:pStyle w:val="NoSpacing"/>
              <w:jc w:val="center"/>
              <w:rPr>
                <w:b/>
                <w:sz w:val="20"/>
                <w:szCs w:val="20"/>
              </w:rPr>
            </w:pPr>
            <w:r w:rsidRPr="008018A3">
              <w:rPr>
                <w:b/>
                <w:sz w:val="20"/>
                <w:szCs w:val="20"/>
              </w:rPr>
              <w:t xml:space="preserve"> Nat</w:t>
            </w:r>
            <w:r>
              <w:rPr>
                <w:b/>
                <w:sz w:val="20"/>
                <w:szCs w:val="20"/>
              </w:rPr>
              <w:t>ional Benchmark</w:t>
            </w:r>
          </w:p>
        </w:tc>
        <w:tc>
          <w:tcPr>
            <w:tcW w:w="1701" w:type="dxa"/>
            <w:shd w:val="clear" w:color="auto" w:fill="DBE5F1"/>
          </w:tcPr>
          <w:p w:rsidR="000540F0" w:rsidRPr="008018A3" w:rsidRDefault="000540F0" w:rsidP="00B7065D">
            <w:pPr>
              <w:pStyle w:val="NoSpacing"/>
              <w:jc w:val="center"/>
              <w:rPr>
                <w:b/>
                <w:sz w:val="20"/>
                <w:szCs w:val="20"/>
              </w:rPr>
            </w:pPr>
            <w:r w:rsidRPr="008018A3">
              <w:rPr>
                <w:b/>
                <w:sz w:val="20"/>
                <w:szCs w:val="20"/>
              </w:rPr>
              <w:t>Group</w:t>
            </w:r>
          </w:p>
        </w:tc>
        <w:tc>
          <w:tcPr>
            <w:tcW w:w="2268" w:type="dxa"/>
          </w:tcPr>
          <w:p w:rsidR="000540F0" w:rsidRPr="008018A3" w:rsidRDefault="000540F0" w:rsidP="00B7065D">
            <w:pPr>
              <w:pStyle w:val="NoSpacing"/>
              <w:jc w:val="center"/>
              <w:rPr>
                <w:b/>
                <w:sz w:val="20"/>
                <w:szCs w:val="20"/>
              </w:rPr>
            </w:pPr>
            <w:r w:rsidRPr="008018A3">
              <w:rPr>
                <w:b/>
                <w:sz w:val="20"/>
                <w:szCs w:val="20"/>
              </w:rPr>
              <w:t>Nat</w:t>
            </w:r>
            <w:r>
              <w:rPr>
                <w:b/>
                <w:sz w:val="20"/>
                <w:szCs w:val="20"/>
              </w:rPr>
              <w:t>ional Benchmark</w:t>
            </w:r>
          </w:p>
        </w:tc>
      </w:tr>
      <w:tr w:rsidR="000540F0" w:rsidRPr="005C11FF" w:rsidTr="000540F0">
        <w:tc>
          <w:tcPr>
            <w:tcW w:w="2122" w:type="dxa"/>
            <w:shd w:val="clear" w:color="auto" w:fill="DBE5F1"/>
          </w:tcPr>
          <w:p w:rsidR="000540F0" w:rsidRPr="008018A3" w:rsidRDefault="000540F0" w:rsidP="00B7065D">
            <w:pPr>
              <w:pStyle w:val="NoSpacing"/>
              <w:jc w:val="center"/>
              <w:rPr>
                <w:sz w:val="18"/>
                <w:szCs w:val="18"/>
              </w:rPr>
            </w:pPr>
            <w:r>
              <w:rPr>
                <w:sz w:val="18"/>
                <w:szCs w:val="18"/>
              </w:rPr>
              <w:t>100</w:t>
            </w:r>
          </w:p>
        </w:tc>
        <w:tc>
          <w:tcPr>
            <w:tcW w:w="1984" w:type="dxa"/>
          </w:tcPr>
          <w:p w:rsidR="000540F0" w:rsidRPr="008018A3" w:rsidRDefault="00D40E56" w:rsidP="002E029E">
            <w:pPr>
              <w:pStyle w:val="NoSpacing"/>
              <w:jc w:val="center"/>
              <w:rPr>
                <w:sz w:val="18"/>
                <w:szCs w:val="18"/>
              </w:rPr>
            </w:pPr>
            <w:r>
              <w:rPr>
                <w:sz w:val="18"/>
                <w:szCs w:val="18"/>
              </w:rPr>
              <w:t>82</w:t>
            </w:r>
          </w:p>
        </w:tc>
        <w:tc>
          <w:tcPr>
            <w:tcW w:w="1843" w:type="dxa"/>
            <w:shd w:val="clear" w:color="auto" w:fill="DBE5F1"/>
          </w:tcPr>
          <w:p w:rsidR="000540F0" w:rsidRPr="008018A3" w:rsidRDefault="000540F0" w:rsidP="00B7065D">
            <w:pPr>
              <w:pStyle w:val="NoSpacing"/>
              <w:jc w:val="center"/>
              <w:rPr>
                <w:sz w:val="18"/>
                <w:szCs w:val="18"/>
              </w:rPr>
            </w:pPr>
            <w:r>
              <w:rPr>
                <w:sz w:val="18"/>
                <w:szCs w:val="18"/>
              </w:rPr>
              <w:t>100</w:t>
            </w:r>
          </w:p>
        </w:tc>
        <w:tc>
          <w:tcPr>
            <w:tcW w:w="1984" w:type="dxa"/>
          </w:tcPr>
          <w:p w:rsidR="000540F0" w:rsidRPr="008018A3" w:rsidRDefault="00D40E56" w:rsidP="00B7065D">
            <w:pPr>
              <w:pStyle w:val="NoSpacing"/>
              <w:jc w:val="center"/>
              <w:rPr>
                <w:sz w:val="18"/>
                <w:szCs w:val="18"/>
              </w:rPr>
            </w:pPr>
            <w:r>
              <w:rPr>
                <w:sz w:val="18"/>
                <w:szCs w:val="18"/>
              </w:rPr>
              <w:t>71</w:t>
            </w:r>
          </w:p>
        </w:tc>
        <w:tc>
          <w:tcPr>
            <w:tcW w:w="1701" w:type="dxa"/>
            <w:shd w:val="clear" w:color="auto" w:fill="DBE5F1"/>
          </w:tcPr>
          <w:p w:rsidR="000540F0" w:rsidRPr="008018A3" w:rsidRDefault="000540F0" w:rsidP="00B7065D">
            <w:pPr>
              <w:pStyle w:val="NoSpacing"/>
              <w:jc w:val="center"/>
              <w:rPr>
                <w:sz w:val="18"/>
                <w:szCs w:val="18"/>
              </w:rPr>
            </w:pPr>
            <w:r>
              <w:rPr>
                <w:sz w:val="18"/>
                <w:szCs w:val="18"/>
              </w:rPr>
              <w:t>100</w:t>
            </w:r>
          </w:p>
        </w:tc>
        <w:tc>
          <w:tcPr>
            <w:tcW w:w="2268" w:type="dxa"/>
          </w:tcPr>
          <w:p w:rsidR="000540F0" w:rsidRPr="008018A3" w:rsidRDefault="00D40E56" w:rsidP="00B7065D">
            <w:pPr>
              <w:pStyle w:val="NoSpacing"/>
              <w:jc w:val="center"/>
              <w:rPr>
                <w:sz w:val="18"/>
                <w:szCs w:val="18"/>
              </w:rPr>
            </w:pPr>
            <w:r>
              <w:rPr>
                <w:sz w:val="18"/>
                <w:szCs w:val="18"/>
              </w:rPr>
              <w:t>79</w:t>
            </w:r>
          </w:p>
        </w:tc>
      </w:tr>
    </w:tbl>
    <w:p w:rsidR="004C70E0" w:rsidRPr="004C70E0" w:rsidRDefault="004C70E0" w:rsidP="004C70E0">
      <w:pPr>
        <w:spacing w:after="0" w:line="240" w:lineRule="auto"/>
        <w:rPr>
          <w:sz w:val="20"/>
          <w:szCs w:val="20"/>
        </w:rPr>
      </w:pPr>
      <w:r w:rsidRPr="004C70E0">
        <w:rPr>
          <w:sz w:val="20"/>
          <w:szCs w:val="20"/>
        </w:rPr>
        <w:t>The school used very clear, focused strategies</w:t>
      </w:r>
      <w:r>
        <w:rPr>
          <w:sz w:val="20"/>
          <w:szCs w:val="20"/>
        </w:rPr>
        <w:t xml:space="preserve"> to accelerate the learning for this group of pupils</w:t>
      </w:r>
      <w:r w:rsidR="005703D3">
        <w:rPr>
          <w:sz w:val="20"/>
          <w:szCs w:val="20"/>
        </w:rPr>
        <w:t>. The small number in this group compared to previous years meant that the level of focus was more intensive than usual but changes to the wider environment and practice supported improvement.</w:t>
      </w:r>
    </w:p>
    <w:p w:rsidR="004C70E0" w:rsidRPr="004C70E0" w:rsidRDefault="004C70E0" w:rsidP="004C70E0">
      <w:pPr>
        <w:spacing w:after="0" w:line="240" w:lineRule="auto"/>
        <w:rPr>
          <w:sz w:val="20"/>
          <w:szCs w:val="20"/>
          <w:highlight w:val="yellow"/>
        </w:rPr>
      </w:pPr>
    </w:p>
    <w:p w:rsidR="00D50C2E" w:rsidRPr="003C0E41" w:rsidRDefault="00D50C2E" w:rsidP="003C0E41">
      <w:pPr>
        <w:pStyle w:val="NoSpacing"/>
        <w:rPr>
          <w:b/>
          <w:sz w:val="20"/>
          <w:szCs w:val="20"/>
          <w:highlight w:val="yellow"/>
        </w:rPr>
      </w:pPr>
      <w:r w:rsidRPr="003C0E41">
        <w:rPr>
          <w:b/>
          <w:sz w:val="20"/>
          <w:szCs w:val="20"/>
          <w:highlight w:val="yellow"/>
        </w:rPr>
        <w:t>Key Stage One</w:t>
      </w:r>
    </w:p>
    <w:p w:rsidR="00962BB6" w:rsidRPr="005C11FF" w:rsidRDefault="00962BB6" w:rsidP="00962BB6">
      <w:pPr>
        <w:pStyle w:val="NoSpacing"/>
        <w:rPr>
          <w:b/>
          <w:sz w:val="20"/>
          <w:szCs w:val="20"/>
        </w:rPr>
      </w:pPr>
      <w:r w:rsidRPr="005C11FF">
        <w:rPr>
          <w:b/>
          <w:sz w:val="20"/>
          <w:szCs w:val="20"/>
        </w:rPr>
        <w:t>Year 1 Phonics Screen</w:t>
      </w:r>
      <w:r w:rsidR="004C70E0">
        <w:rPr>
          <w:b/>
          <w:sz w:val="20"/>
          <w:szCs w:val="20"/>
        </w:rPr>
        <w:t xml:space="preserve"> – 1</w:t>
      </w:r>
      <w:r w:rsidR="000540F0">
        <w:rPr>
          <w:b/>
          <w:sz w:val="20"/>
          <w:szCs w:val="20"/>
        </w:rPr>
        <w:t>7</w:t>
      </w:r>
      <w:r w:rsidR="004C70E0">
        <w:rPr>
          <w:b/>
          <w:sz w:val="20"/>
          <w:szCs w:val="20"/>
        </w:rPr>
        <w:t xml:space="preserve"> pupils</w:t>
      </w:r>
      <w:r w:rsidRPr="005C11FF">
        <w:rPr>
          <w:b/>
          <w:sz w:val="20"/>
          <w:szCs w:val="20"/>
        </w:rPr>
        <w:t xml:space="preserve"> (% achieving expected standard)</w:t>
      </w:r>
      <w:r w:rsidR="008032FE" w:rsidRPr="005C11FF">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tblGrid>
      <w:tr w:rsidR="000540F0" w:rsidRPr="005C11FF" w:rsidTr="00796F3B">
        <w:tc>
          <w:tcPr>
            <w:tcW w:w="3473" w:type="dxa"/>
            <w:shd w:val="clear" w:color="auto" w:fill="DBE5F1"/>
          </w:tcPr>
          <w:p w:rsidR="000540F0" w:rsidRPr="005C11FF" w:rsidRDefault="000540F0" w:rsidP="00796F3B">
            <w:pPr>
              <w:pStyle w:val="NoSpacing"/>
              <w:jc w:val="center"/>
              <w:rPr>
                <w:b/>
                <w:sz w:val="20"/>
                <w:szCs w:val="20"/>
              </w:rPr>
            </w:pPr>
            <w:r w:rsidRPr="005C11FF">
              <w:rPr>
                <w:b/>
                <w:sz w:val="20"/>
                <w:szCs w:val="20"/>
              </w:rPr>
              <w:t>Performance of the group</w:t>
            </w:r>
          </w:p>
        </w:tc>
        <w:tc>
          <w:tcPr>
            <w:tcW w:w="3473" w:type="dxa"/>
          </w:tcPr>
          <w:p w:rsidR="000540F0" w:rsidRPr="005C11FF" w:rsidRDefault="000540F0" w:rsidP="00796F3B">
            <w:pPr>
              <w:pStyle w:val="NoSpacing"/>
              <w:jc w:val="center"/>
              <w:rPr>
                <w:b/>
                <w:sz w:val="20"/>
                <w:szCs w:val="20"/>
              </w:rPr>
            </w:pPr>
            <w:r>
              <w:rPr>
                <w:b/>
                <w:sz w:val="20"/>
                <w:szCs w:val="20"/>
              </w:rPr>
              <w:t>National Benchmark</w:t>
            </w:r>
          </w:p>
        </w:tc>
      </w:tr>
      <w:tr w:rsidR="000540F0" w:rsidRPr="005C11FF" w:rsidTr="00796F3B">
        <w:tc>
          <w:tcPr>
            <w:tcW w:w="3473" w:type="dxa"/>
            <w:shd w:val="clear" w:color="auto" w:fill="DBE5F1"/>
          </w:tcPr>
          <w:p w:rsidR="000540F0" w:rsidRPr="005C11FF" w:rsidRDefault="000540F0" w:rsidP="004C70E0">
            <w:pPr>
              <w:pStyle w:val="NoSpacing"/>
              <w:jc w:val="center"/>
              <w:rPr>
                <w:sz w:val="20"/>
                <w:szCs w:val="20"/>
              </w:rPr>
            </w:pPr>
            <w:r>
              <w:rPr>
                <w:sz w:val="20"/>
                <w:szCs w:val="20"/>
              </w:rPr>
              <w:t>76</w:t>
            </w:r>
          </w:p>
        </w:tc>
        <w:tc>
          <w:tcPr>
            <w:tcW w:w="3473" w:type="dxa"/>
          </w:tcPr>
          <w:p w:rsidR="000540F0" w:rsidRPr="005C11FF" w:rsidRDefault="000540F0" w:rsidP="00796F3B">
            <w:pPr>
              <w:pStyle w:val="NoSpacing"/>
              <w:jc w:val="center"/>
              <w:rPr>
                <w:sz w:val="20"/>
                <w:szCs w:val="20"/>
              </w:rPr>
            </w:pPr>
            <w:r>
              <w:rPr>
                <w:sz w:val="20"/>
                <w:szCs w:val="20"/>
              </w:rPr>
              <w:t>85</w:t>
            </w:r>
          </w:p>
        </w:tc>
      </w:tr>
    </w:tbl>
    <w:p w:rsidR="004C70E0" w:rsidRPr="005C11FF" w:rsidRDefault="004C70E0" w:rsidP="00962BB6">
      <w:pPr>
        <w:pStyle w:val="NoSpacing"/>
        <w:rPr>
          <w:sz w:val="20"/>
          <w:szCs w:val="20"/>
        </w:rPr>
      </w:pPr>
      <w:r>
        <w:rPr>
          <w:sz w:val="20"/>
          <w:szCs w:val="20"/>
        </w:rPr>
        <w:t xml:space="preserve">A number of focused interventions were delivered, enabling this group of children to </w:t>
      </w:r>
      <w:r w:rsidR="00185E94">
        <w:rPr>
          <w:sz w:val="20"/>
          <w:szCs w:val="20"/>
        </w:rPr>
        <w:t>make accelerated progress h</w:t>
      </w:r>
      <w:r w:rsidR="00D40E56">
        <w:rPr>
          <w:sz w:val="20"/>
          <w:szCs w:val="20"/>
        </w:rPr>
        <w:t xml:space="preserve">aving been below average in the </w:t>
      </w:r>
      <w:r w:rsidR="00185E94">
        <w:rPr>
          <w:sz w:val="20"/>
          <w:szCs w:val="20"/>
        </w:rPr>
        <w:t>areas of CLL and Literacy at the end of Reception in 2017</w:t>
      </w:r>
      <w:r>
        <w:rPr>
          <w:sz w:val="20"/>
          <w:szCs w:val="20"/>
        </w:rPr>
        <w:t xml:space="preserve">. </w:t>
      </w:r>
      <w:r w:rsidR="00060557">
        <w:rPr>
          <w:sz w:val="20"/>
          <w:szCs w:val="20"/>
        </w:rPr>
        <w:t xml:space="preserve">A key approach was the use </w:t>
      </w:r>
      <w:r>
        <w:rPr>
          <w:sz w:val="20"/>
          <w:szCs w:val="20"/>
        </w:rPr>
        <w:t xml:space="preserve">of small group teaching </w:t>
      </w:r>
      <w:r w:rsidR="00536B11">
        <w:rPr>
          <w:sz w:val="20"/>
          <w:szCs w:val="20"/>
        </w:rPr>
        <w:t>throughout the academic year</w:t>
      </w:r>
      <w:r w:rsidR="00D40E56">
        <w:rPr>
          <w:sz w:val="20"/>
          <w:szCs w:val="20"/>
        </w:rPr>
        <w:t xml:space="preserve"> which was pivotal in</w:t>
      </w:r>
      <w:r w:rsidR="005703D3">
        <w:rPr>
          <w:sz w:val="20"/>
          <w:szCs w:val="20"/>
        </w:rPr>
        <w:t xml:space="preserve"> accelerating standards for a proportion of the group who had lower levels of home support</w:t>
      </w:r>
      <w:r w:rsidR="00536B11">
        <w:rPr>
          <w:sz w:val="20"/>
          <w:szCs w:val="20"/>
        </w:rPr>
        <w:t>.</w:t>
      </w:r>
    </w:p>
    <w:p w:rsidR="0066634E" w:rsidRDefault="0066634E" w:rsidP="00962BB6">
      <w:pPr>
        <w:pStyle w:val="NoSpacing"/>
        <w:rPr>
          <w:b/>
          <w:sz w:val="20"/>
          <w:szCs w:val="20"/>
        </w:rPr>
      </w:pPr>
    </w:p>
    <w:p w:rsidR="008018A3" w:rsidRDefault="008032FE" w:rsidP="008018A3">
      <w:pPr>
        <w:pStyle w:val="NoSpacing"/>
        <w:rPr>
          <w:b/>
          <w:sz w:val="20"/>
          <w:szCs w:val="20"/>
        </w:rPr>
      </w:pPr>
      <w:r w:rsidRPr="005C11FF">
        <w:rPr>
          <w:b/>
          <w:sz w:val="20"/>
          <w:szCs w:val="20"/>
        </w:rPr>
        <w:t>Year 2</w:t>
      </w:r>
      <w:r w:rsidR="00781889">
        <w:rPr>
          <w:b/>
          <w:sz w:val="20"/>
          <w:szCs w:val="20"/>
        </w:rPr>
        <w:t xml:space="preserve">: </w:t>
      </w:r>
      <w:r w:rsidR="000540F0">
        <w:rPr>
          <w:b/>
          <w:sz w:val="20"/>
          <w:szCs w:val="20"/>
        </w:rPr>
        <w:t>13</w:t>
      </w:r>
      <w:r w:rsidR="004C70E0">
        <w:rPr>
          <w:b/>
          <w:sz w:val="20"/>
          <w:szCs w:val="20"/>
        </w:rPr>
        <w:t xml:space="preserve"> pupils</w:t>
      </w:r>
      <w:r w:rsidRPr="005C11FF">
        <w:rPr>
          <w:b/>
          <w:sz w:val="20"/>
          <w:szCs w:val="20"/>
        </w:rPr>
        <w:t xml:space="preserve"> (</w:t>
      </w:r>
      <w:r w:rsidR="00097955">
        <w:rPr>
          <w:b/>
          <w:sz w:val="20"/>
          <w:szCs w:val="20"/>
        </w:rPr>
        <w:t>% meeting the expected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984"/>
        <w:gridCol w:w="1843"/>
        <w:gridCol w:w="1984"/>
        <w:gridCol w:w="1701"/>
        <w:gridCol w:w="2268"/>
      </w:tblGrid>
      <w:tr w:rsidR="008032FE" w:rsidRPr="005C11FF" w:rsidTr="000540F0">
        <w:tc>
          <w:tcPr>
            <w:tcW w:w="4106" w:type="dxa"/>
            <w:gridSpan w:val="2"/>
          </w:tcPr>
          <w:p w:rsidR="008032FE" w:rsidRPr="005C11FF" w:rsidRDefault="008032FE" w:rsidP="00796F3B">
            <w:pPr>
              <w:pStyle w:val="NoSpacing"/>
              <w:jc w:val="center"/>
              <w:rPr>
                <w:b/>
                <w:sz w:val="20"/>
                <w:szCs w:val="20"/>
              </w:rPr>
            </w:pPr>
            <w:r w:rsidRPr="005C11FF">
              <w:rPr>
                <w:b/>
                <w:sz w:val="20"/>
                <w:szCs w:val="20"/>
              </w:rPr>
              <w:t>Reading</w:t>
            </w:r>
          </w:p>
        </w:tc>
        <w:tc>
          <w:tcPr>
            <w:tcW w:w="3827" w:type="dxa"/>
            <w:gridSpan w:val="2"/>
          </w:tcPr>
          <w:p w:rsidR="008032FE" w:rsidRPr="005C11FF" w:rsidRDefault="008032FE" w:rsidP="00796F3B">
            <w:pPr>
              <w:pStyle w:val="NoSpacing"/>
              <w:jc w:val="center"/>
              <w:rPr>
                <w:b/>
                <w:sz w:val="20"/>
                <w:szCs w:val="20"/>
              </w:rPr>
            </w:pPr>
            <w:r w:rsidRPr="005C11FF">
              <w:rPr>
                <w:b/>
                <w:sz w:val="20"/>
                <w:szCs w:val="20"/>
              </w:rPr>
              <w:t>Writing</w:t>
            </w:r>
          </w:p>
        </w:tc>
        <w:tc>
          <w:tcPr>
            <w:tcW w:w="3969" w:type="dxa"/>
            <w:gridSpan w:val="2"/>
          </w:tcPr>
          <w:p w:rsidR="008032FE" w:rsidRPr="005C11FF" w:rsidRDefault="008032FE" w:rsidP="00796F3B">
            <w:pPr>
              <w:pStyle w:val="NoSpacing"/>
              <w:jc w:val="center"/>
              <w:rPr>
                <w:b/>
                <w:sz w:val="20"/>
                <w:szCs w:val="20"/>
              </w:rPr>
            </w:pPr>
            <w:r w:rsidRPr="005C11FF">
              <w:rPr>
                <w:b/>
                <w:sz w:val="20"/>
                <w:szCs w:val="20"/>
              </w:rPr>
              <w:t>Maths</w:t>
            </w:r>
          </w:p>
        </w:tc>
      </w:tr>
      <w:tr w:rsidR="000540F0" w:rsidRPr="005C11FF" w:rsidTr="000540F0">
        <w:tc>
          <w:tcPr>
            <w:tcW w:w="2122" w:type="dxa"/>
            <w:shd w:val="clear" w:color="auto" w:fill="DBE5F1"/>
          </w:tcPr>
          <w:p w:rsidR="000540F0" w:rsidRPr="005C11FF" w:rsidRDefault="000540F0" w:rsidP="00796F3B">
            <w:pPr>
              <w:pStyle w:val="NoSpacing"/>
              <w:jc w:val="center"/>
              <w:rPr>
                <w:b/>
                <w:sz w:val="20"/>
                <w:szCs w:val="20"/>
              </w:rPr>
            </w:pPr>
            <w:r w:rsidRPr="005C11FF">
              <w:rPr>
                <w:b/>
                <w:sz w:val="20"/>
                <w:szCs w:val="20"/>
              </w:rPr>
              <w:t>Group</w:t>
            </w:r>
          </w:p>
        </w:tc>
        <w:tc>
          <w:tcPr>
            <w:tcW w:w="1984" w:type="dxa"/>
          </w:tcPr>
          <w:p w:rsidR="000540F0" w:rsidRPr="005C11FF" w:rsidRDefault="000540F0" w:rsidP="00796F3B">
            <w:pPr>
              <w:pStyle w:val="NoSpacing"/>
              <w:jc w:val="center"/>
              <w:rPr>
                <w:b/>
                <w:sz w:val="20"/>
                <w:szCs w:val="20"/>
              </w:rPr>
            </w:pPr>
            <w:r>
              <w:rPr>
                <w:b/>
                <w:sz w:val="20"/>
                <w:szCs w:val="20"/>
              </w:rPr>
              <w:t>National Benchmark</w:t>
            </w:r>
          </w:p>
        </w:tc>
        <w:tc>
          <w:tcPr>
            <w:tcW w:w="1843" w:type="dxa"/>
            <w:shd w:val="clear" w:color="auto" w:fill="DBE5F1"/>
          </w:tcPr>
          <w:p w:rsidR="000540F0" w:rsidRPr="005C11FF" w:rsidRDefault="000540F0" w:rsidP="00796F3B">
            <w:pPr>
              <w:pStyle w:val="NoSpacing"/>
              <w:jc w:val="center"/>
              <w:rPr>
                <w:b/>
                <w:sz w:val="20"/>
                <w:szCs w:val="20"/>
              </w:rPr>
            </w:pPr>
            <w:r w:rsidRPr="005C11FF">
              <w:rPr>
                <w:b/>
                <w:sz w:val="20"/>
                <w:szCs w:val="20"/>
              </w:rPr>
              <w:t>Group</w:t>
            </w:r>
          </w:p>
        </w:tc>
        <w:tc>
          <w:tcPr>
            <w:tcW w:w="1984" w:type="dxa"/>
          </w:tcPr>
          <w:p w:rsidR="000540F0" w:rsidRPr="005C11FF" w:rsidRDefault="000540F0" w:rsidP="000540F0">
            <w:pPr>
              <w:pStyle w:val="NoSpacing"/>
              <w:jc w:val="center"/>
              <w:rPr>
                <w:b/>
                <w:sz w:val="20"/>
                <w:szCs w:val="20"/>
              </w:rPr>
            </w:pPr>
            <w:r w:rsidRPr="005C11FF">
              <w:rPr>
                <w:b/>
                <w:sz w:val="20"/>
                <w:szCs w:val="20"/>
              </w:rPr>
              <w:t>Nat</w:t>
            </w:r>
            <w:r>
              <w:rPr>
                <w:b/>
                <w:sz w:val="20"/>
                <w:szCs w:val="20"/>
              </w:rPr>
              <w:t>ional Benchmark</w:t>
            </w:r>
          </w:p>
        </w:tc>
        <w:tc>
          <w:tcPr>
            <w:tcW w:w="1701" w:type="dxa"/>
            <w:shd w:val="clear" w:color="auto" w:fill="DBE5F1"/>
          </w:tcPr>
          <w:p w:rsidR="000540F0" w:rsidRPr="005C11FF" w:rsidRDefault="000540F0" w:rsidP="00796F3B">
            <w:pPr>
              <w:pStyle w:val="NoSpacing"/>
              <w:jc w:val="center"/>
              <w:rPr>
                <w:b/>
                <w:sz w:val="20"/>
                <w:szCs w:val="20"/>
              </w:rPr>
            </w:pPr>
            <w:r w:rsidRPr="005C11FF">
              <w:rPr>
                <w:b/>
                <w:sz w:val="20"/>
                <w:szCs w:val="20"/>
              </w:rPr>
              <w:t>Group</w:t>
            </w:r>
          </w:p>
        </w:tc>
        <w:tc>
          <w:tcPr>
            <w:tcW w:w="2268" w:type="dxa"/>
          </w:tcPr>
          <w:p w:rsidR="000540F0" w:rsidRPr="005C11FF" w:rsidRDefault="000540F0" w:rsidP="008018A3">
            <w:pPr>
              <w:pStyle w:val="NoSpacing"/>
              <w:jc w:val="center"/>
              <w:rPr>
                <w:b/>
                <w:sz w:val="20"/>
                <w:szCs w:val="20"/>
              </w:rPr>
            </w:pPr>
            <w:r>
              <w:rPr>
                <w:b/>
                <w:sz w:val="20"/>
                <w:szCs w:val="20"/>
              </w:rPr>
              <w:t>National Benchmark</w:t>
            </w:r>
          </w:p>
        </w:tc>
      </w:tr>
      <w:tr w:rsidR="000540F0" w:rsidRPr="005C11FF" w:rsidTr="000540F0">
        <w:tc>
          <w:tcPr>
            <w:tcW w:w="2122" w:type="dxa"/>
            <w:shd w:val="clear" w:color="auto" w:fill="DBE5F1"/>
          </w:tcPr>
          <w:p w:rsidR="000540F0" w:rsidRPr="005C11FF" w:rsidRDefault="000540F0" w:rsidP="004C70E0">
            <w:pPr>
              <w:pStyle w:val="NoSpacing"/>
              <w:jc w:val="center"/>
              <w:rPr>
                <w:sz w:val="20"/>
                <w:szCs w:val="20"/>
              </w:rPr>
            </w:pPr>
            <w:r>
              <w:rPr>
                <w:sz w:val="20"/>
                <w:szCs w:val="20"/>
              </w:rPr>
              <w:t>54</w:t>
            </w:r>
          </w:p>
        </w:tc>
        <w:tc>
          <w:tcPr>
            <w:tcW w:w="1984" w:type="dxa"/>
          </w:tcPr>
          <w:p w:rsidR="000540F0" w:rsidRPr="005C11FF" w:rsidRDefault="000540F0" w:rsidP="00796F3B">
            <w:pPr>
              <w:pStyle w:val="NoSpacing"/>
              <w:jc w:val="center"/>
              <w:rPr>
                <w:sz w:val="20"/>
                <w:szCs w:val="20"/>
              </w:rPr>
            </w:pPr>
            <w:r>
              <w:rPr>
                <w:sz w:val="20"/>
                <w:szCs w:val="20"/>
              </w:rPr>
              <w:t>79</w:t>
            </w:r>
          </w:p>
        </w:tc>
        <w:tc>
          <w:tcPr>
            <w:tcW w:w="1843" w:type="dxa"/>
            <w:shd w:val="clear" w:color="auto" w:fill="DBE5F1"/>
          </w:tcPr>
          <w:p w:rsidR="000540F0" w:rsidRPr="005C11FF" w:rsidRDefault="000540F0" w:rsidP="004C70E0">
            <w:pPr>
              <w:pStyle w:val="NoSpacing"/>
              <w:jc w:val="center"/>
              <w:rPr>
                <w:sz w:val="20"/>
                <w:szCs w:val="20"/>
              </w:rPr>
            </w:pPr>
            <w:r>
              <w:rPr>
                <w:sz w:val="20"/>
                <w:szCs w:val="20"/>
              </w:rPr>
              <w:t>62</w:t>
            </w:r>
          </w:p>
        </w:tc>
        <w:tc>
          <w:tcPr>
            <w:tcW w:w="1984" w:type="dxa"/>
          </w:tcPr>
          <w:p w:rsidR="000540F0" w:rsidRPr="005C11FF" w:rsidRDefault="000540F0" w:rsidP="00FD299E">
            <w:pPr>
              <w:pStyle w:val="NoSpacing"/>
              <w:jc w:val="center"/>
              <w:rPr>
                <w:sz w:val="20"/>
                <w:szCs w:val="20"/>
              </w:rPr>
            </w:pPr>
            <w:r>
              <w:rPr>
                <w:sz w:val="20"/>
                <w:szCs w:val="20"/>
              </w:rPr>
              <w:t>74</w:t>
            </w:r>
          </w:p>
        </w:tc>
        <w:tc>
          <w:tcPr>
            <w:tcW w:w="1701" w:type="dxa"/>
            <w:shd w:val="clear" w:color="auto" w:fill="DBE5F1"/>
          </w:tcPr>
          <w:p w:rsidR="000540F0" w:rsidRPr="005C11FF" w:rsidRDefault="000540F0" w:rsidP="004C70E0">
            <w:pPr>
              <w:pStyle w:val="NoSpacing"/>
              <w:jc w:val="center"/>
              <w:rPr>
                <w:sz w:val="20"/>
                <w:szCs w:val="20"/>
              </w:rPr>
            </w:pPr>
            <w:r>
              <w:rPr>
                <w:sz w:val="20"/>
                <w:szCs w:val="20"/>
              </w:rPr>
              <w:t>54</w:t>
            </w:r>
          </w:p>
        </w:tc>
        <w:tc>
          <w:tcPr>
            <w:tcW w:w="2268" w:type="dxa"/>
          </w:tcPr>
          <w:p w:rsidR="000540F0" w:rsidRPr="005C11FF" w:rsidRDefault="000540F0" w:rsidP="00796F3B">
            <w:pPr>
              <w:pStyle w:val="NoSpacing"/>
              <w:jc w:val="center"/>
              <w:rPr>
                <w:sz w:val="20"/>
                <w:szCs w:val="20"/>
              </w:rPr>
            </w:pPr>
            <w:r>
              <w:rPr>
                <w:sz w:val="20"/>
                <w:szCs w:val="20"/>
              </w:rPr>
              <w:t>80</w:t>
            </w:r>
          </w:p>
        </w:tc>
      </w:tr>
    </w:tbl>
    <w:p w:rsidR="002F4B1F" w:rsidRPr="005C11FF" w:rsidRDefault="002F4B1F" w:rsidP="00962BB6">
      <w:pPr>
        <w:pStyle w:val="NoSpacing"/>
        <w:rPr>
          <w:sz w:val="20"/>
          <w:szCs w:val="20"/>
        </w:rPr>
      </w:pPr>
      <w:r w:rsidRPr="005C11FF">
        <w:rPr>
          <w:sz w:val="20"/>
          <w:szCs w:val="20"/>
        </w:rPr>
        <w:t xml:space="preserve">The outcomes at the end of KS1 </w:t>
      </w:r>
      <w:r w:rsidR="005703D3">
        <w:rPr>
          <w:sz w:val="20"/>
          <w:szCs w:val="20"/>
        </w:rPr>
        <w:t>for Writing</w:t>
      </w:r>
      <w:r w:rsidR="00185E94">
        <w:rPr>
          <w:sz w:val="20"/>
          <w:szCs w:val="20"/>
        </w:rPr>
        <w:t xml:space="preserve"> and Maths</w:t>
      </w:r>
      <w:r w:rsidR="005703D3">
        <w:rPr>
          <w:sz w:val="20"/>
          <w:szCs w:val="20"/>
        </w:rPr>
        <w:t xml:space="preserve"> </w:t>
      </w:r>
      <w:r w:rsidRPr="005C11FF">
        <w:rPr>
          <w:sz w:val="20"/>
          <w:szCs w:val="20"/>
        </w:rPr>
        <w:t>represent</w:t>
      </w:r>
      <w:r w:rsidR="00185E94">
        <w:rPr>
          <w:sz w:val="20"/>
          <w:szCs w:val="20"/>
        </w:rPr>
        <w:t xml:space="preserve">ed </w:t>
      </w:r>
      <w:r w:rsidR="005703D3">
        <w:rPr>
          <w:sz w:val="20"/>
          <w:szCs w:val="20"/>
        </w:rPr>
        <w:t>improvement on those for 2017. This was due to the deployment of full-time teaching assistant support in both classes with additional support allocated for specific lessons. This allowed small groups to receive intensive support</w:t>
      </w:r>
      <w:r w:rsidR="00D40E56">
        <w:rPr>
          <w:sz w:val="20"/>
          <w:szCs w:val="20"/>
        </w:rPr>
        <w:t xml:space="preserve"> and reduced the gap that had</w:t>
      </w:r>
      <w:r w:rsidR="00185E94">
        <w:rPr>
          <w:sz w:val="20"/>
          <w:szCs w:val="20"/>
        </w:rPr>
        <w:t xml:space="preserve"> been evident historically</w:t>
      </w:r>
      <w:r w:rsidR="005703D3">
        <w:rPr>
          <w:sz w:val="20"/>
          <w:szCs w:val="20"/>
        </w:rPr>
        <w:t xml:space="preserve">. </w:t>
      </w:r>
      <w:r w:rsidR="00417473">
        <w:rPr>
          <w:sz w:val="20"/>
          <w:szCs w:val="20"/>
        </w:rPr>
        <w:t xml:space="preserve">The outcome for </w:t>
      </w:r>
      <w:r w:rsidR="00D40E56">
        <w:rPr>
          <w:sz w:val="20"/>
          <w:szCs w:val="20"/>
        </w:rPr>
        <w:t>Reading</w:t>
      </w:r>
      <w:r w:rsidR="00417473">
        <w:rPr>
          <w:sz w:val="20"/>
          <w:szCs w:val="20"/>
        </w:rPr>
        <w:t xml:space="preserve"> was disappointing and </w:t>
      </w:r>
      <w:r w:rsidR="00D40E56">
        <w:rPr>
          <w:sz w:val="20"/>
          <w:szCs w:val="20"/>
        </w:rPr>
        <w:t>showed a decline from</w:t>
      </w:r>
      <w:r w:rsidR="00417473">
        <w:rPr>
          <w:sz w:val="20"/>
          <w:szCs w:val="20"/>
        </w:rPr>
        <w:t xml:space="preserve"> school’s performance in 2017. Analysis has been carried out on the barriers to learning for these pupils with ‘catch-up’ programmes in place in Year 3 along with modifications to practice and support for the 2018/19 Year 2 cohort.</w:t>
      </w:r>
    </w:p>
    <w:p w:rsidR="00D50C2E" w:rsidRPr="005C11FF" w:rsidRDefault="00D50C2E" w:rsidP="005F43C2">
      <w:pPr>
        <w:pStyle w:val="NoSpacing"/>
        <w:rPr>
          <w:b/>
          <w:sz w:val="20"/>
          <w:szCs w:val="20"/>
        </w:rPr>
      </w:pPr>
    </w:p>
    <w:p w:rsidR="005F43C2" w:rsidRPr="003C0E41" w:rsidRDefault="00D50C2E" w:rsidP="003C0E41">
      <w:pPr>
        <w:pStyle w:val="NoSpacing"/>
        <w:rPr>
          <w:b/>
          <w:sz w:val="20"/>
          <w:szCs w:val="20"/>
          <w:highlight w:val="yellow"/>
        </w:rPr>
      </w:pPr>
      <w:r w:rsidRPr="003C0E41">
        <w:rPr>
          <w:b/>
          <w:sz w:val="20"/>
          <w:szCs w:val="20"/>
          <w:highlight w:val="yellow"/>
        </w:rPr>
        <w:t>Key Stage Two</w:t>
      </w:r>
    </w:p>
    <w:p w:rsidR="005F43C2" w:rsidRPr="005C11FF" w:rsidRDefault="005F43C2" w:rsidP="005F43C2">
      <w:pPr>
        <w:pStyle w:val="NoSpacing"/>
        <w:rPr>
          <w:b/>
          <w:sz w:val="20"/>
          <w:szCs w:val="20"/>
        </w:rPr>
      </w:pPr>
      <w:r w:rsidRPr="005C11FF">
        <w:rPr>
          <w:b/>
          <w:sz w:val="20"/>
          <w:szCs w:val="20"/>
        </w:rPr>
        <w:t>Year 6</w:t>
      </w:r>
      <w:r w:rsidR="00781889">
        <w:rPr>
          <w:b/>
          <w:sz w:val="20"/>
          <w:szCs w:val="20"/>
        </w:rPr>
        <w:t xml:space="preserve">: </w:t>
      </w:r>
      <w:r w:rsidR="006547A8">
        <w:rPr>
          <w:b/>
          <w:sz w:val="20"/>
          <w:szCs w:val="20"/>
        </w:rPr>
        <w:t>11</w:t>
      </w:r>
      <w:r w:rsidR="008018A3">
        <w:rPr>
          <w:b/>
          <w:sz w:val="20"/>
          <w:szCs w:val="20"/>
        </w:rPr>
        <w:t xml:space="preserve"> pupils </w:t>
      </w:r>
      <w:r w:rsidRPr="005C11FF">
        <w:rPr>
          <w:b/>
          <w:sz w:val="20"/>
          <w:szCs w:val="20"/>
        </w:rPr>
        <w:t>(</w:t>
      </w:r>
      <w:r w:rsidR="00097955">
        <w:rPr>
          <w:b/>
          <w:sz w:val="20"/>
          <w:szCs w:val="20"/>
        </w:rPr>
        <w:t>% meeting the expected standard</w:t>
      </w:r>
      <w:r w:rsidRPr="005C11FF">
        <w:rPr>
          <w:b/>
          <w:sz w:val="20"/>
          <w:szCs w:val="20"/>
        </w:rPr>
        <w: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26"/>
        <w:gridCol w:w="1559"/>
        <w:gridCol w:w="2126"/>
        <w:gridCol w:w="1560"/>
        <w:gridCol w:w="1984"/>
        <w:gridCol w:w="1276"/>
        <w:gridCol w:w="2126"/>
      </w:tblGrid>
      <w:tr w:rsidR="003413F6" w:rsidRPr="005C11FF" w:rsidTr="003413F6">
        <w:tc>
          <w:tcPr>
            <w:tcW w:w="3681" w:type="dxa"/>
            <w:gridSpan w:val="2"/>
          </w:tcPr>
          <w:p w:rsidR="003413F6" w:rsidRPr="005C11FF" w:rsidRDefault="003413F6" w:rsidP="00796F3B">
            <w:pPr>
              <w:pStyle w:val="NoSpacing"/>
              <w:jc w:val="center"/>
              <w:rPr>
                <w:b/>
                <w:sz w:val="20"/>
                <w:szCs w:val="20"/>
              </w:rPr>
            </w:pPr>
            <w:r w:rsidRPr="005C11FF">
              <w:rPr>
                <w:b/>
                <w:sz w:val="20"/>
                <w:szCs w:val="20"/>
              </w:rPr>
              <w:t>Reading</w:t>
            </w:r>
            <w:r>
              <w:rPr>
                <w:b/>
                <w:sz w:val="20"/>
                <w:szCs w:val="20"/>
              </w:rPr>
              <w:t>, Writing and Maths Combined</w:t>
            </w:r>
          </w:p>
        </w:tc>
        <w:tc>
          <w:tcPr>
            <w:tcW w:w="3685" w:type="dxa"/>
            <w:gridSpan w:val="2"/>
          </w:tcPr>
          <w:p w:rsidR="003413F6" w:rsidRPr="005C11FF" w:rsidRDefault="003413F6" w:rsidP="00796F3B">
            <w:pPr>
              <w:pStyle w:val="NoSpacing"/>
              <w:jc w:val="center"/>
              <w:rPr>
                <w:b/>
                <w:sz w:val="20"/>
                <w:szCs w:val="20"/>
              </w:rPr>
            </w:pPr>
            <w:r>
              <w:rPr>
                <w:b/>
                <w:sz w:val="20"/>
                <w:szCs w:val="20"/>
              </w:rPr>
              <w:t>Reading</w:t>
            </w:r>
          </w:p>
        </w:tc>
        <w:tc>
          <w:tcPr>
            <w:tcW w:w="3544" w:type="dxa"/>
            <w:gridSpan w:val="2"/>
          </w:tcPr>
          <w:p w:rsidR="003413F6" w:rsidRPr="005C11FF" w:rsidRDefault="003413F6" w:rsidP="00796F3B">
            <w:pPr>
              <w:pStyle w:val="NoSpacing"/>
              <w:jc w:val="center"/>
              <w:rPr>
                <w:b/>
                <w:sz w:val="20"/>
                <w:szCs w:val="20"/>
              </w:rPr>
            </w:pPr>
            <w:r>
              <w:rPr>
                <w:b/>
                <w:sz w:val="20"/>
                <w:szCs w:val="20"/>
              </w:rPr>
              <w:t>Writing</w:t>
            </w:r>
          </w:p>
        </w:tc>
        <w:tc>
          <w:tcPr>
            <w:tcW w:w="3402" w:type="dxa"/>
            <w:gridSpan w:val="2"/>
          </w:tcPr>
          <w:p w:rsidR="003413F6" w:rsidRPr="005C11FF" w:rsidRDefault="003413F6" w:rsidP="003413F6">
            <w:pPr>
              <w:pStyle w:val="NoSpacing"/>
              <w:jc w:val="center"/>
              <w:rPr>
                <w:b/>
                <w:sz w:val="20"/>
                <w:szCs w:val="20"/>
              </w:rPr>
            </w:pPr>
            <w:r>
              <w:rPr>
                <w:b/>
                <w:sz w:val="20"/>
                <w:szCs w:val="20"/>
              </w:rPr>
              <w:t>Maths</w:t>
            </w:r>
          </w:p>
        </w:tc>
      </w:tr>
      <w:tr w:rsidR="003413F6" w:rsidRPr="005C11FF" w:rsidTr="003413F6">
        <w:tc>
          <w:tcPr>
            <w:tcW w:w="1555" w:type="dxa"/>
            <w:shd w:val="clear" w:color="auto" w:fill="DBE5F1"/>
          </w:tcPr>
          <w:p w:rsidR="003413F6" w:rsidRPr="005C11FF" w:rsidRDefault="003413F6" w:rsidP="00796F3B">
            <w:pPr>
              <w:pStyle w:val="NoSpacing"/>
              <w:jc w:val="center"/>
              <w:rPr>
                <w:b/>
                <w:sz w:val="20"/>
                <w:szCs w:val="20"/>
              </w:rPr>
            </w:pPr>
            <w:r w:rsidRPr="005C11FF">
              <w:rPr>
                <w:b/>
                <w:sz w:val="20"/>
                <w:szCs w:val="20"/>
              </w:rPr>
              <w:t>Group</w:t>
            </w:r>
          </w:p>
        </w:tc>
        <w:tc>
          <w:tcPr>
            <w:tcW w:w="2126" w:type="dxa"/>
          </w:tcPr>
          <w:p w:rsidR="003413F6" w:rsidRPr="005C11FF" w:rsidRDefault="003413F6" w:rsidP="000540F0">
            <w:pPr>
              <w:pStyle w:val="NoSpacing"/>
              <w:jc w:val="center"/>
              <w:rPr>
                <w:b/>
                <w:sz w:val="20"/>
                <w:szCs w:val="20"/>
              </w:rPr>
            </w:pPr>
            <w:r w:rsidRPr="005C11FF">
              <w:rPr>
                <w:b/>
                <w:sz w:val="20"/>
                <w:szCs w:val="20"/>
              </w:rPr>
              <w:t>Nat</w:t>
            </w:r>
            <w:r>
              <w:rPr>
                <w:b/>
                <w:sz w:val="20"/>
                <w:szCs w:val="20"/>
              </w:rPr>
              <w:t>ional Benchmark</w:t>
            </w:r>
          </w:p>
        </w:tc>
        <w:tc>
          <w:tcPr>
            <w:tcW w:w="1559" w:type="dxa"/>
            <w:shd w:val="clear" w:color="auto" w:fill="DBE5F1"/>
          </w:tcPr>
          <w:p w:rsidR="003413F6" w:rsidRPr="005C11FF" w:rsidRDefault="003413F6" w:rsidP="00796F3B">
            <w:pPr>
              <w:pStyle w:val="NoSpacing"/>
              <w:jc w:val="center"/>
              <w:rPr>
                <w:b/>
                <w:sz w:val="20"/>
                <w:szCs w:val="20"/>
              </w:rPr>
            </w:pPr>
            <w:r w:rsidRPr="005C11FF">
              <w:rPr>
                <w:b/>
                <w:sz w:val="20"/>
                <w:szCs w:val="20"/>
              </w:rPr>
              <w:t>Group</w:t>
            </w:r>
          </w:p>
        </w:tc>
        <w:tc>
          <w:tcPr>
            <w:tcW w:w="2126" w:type="dxa"/>
          </w:tcPr>
          <w:p w:rsidR="003413F6" w:rsidRPr="005C11FF" w:rsidRDefault="003413F6" w:rsidP="008018A3">
            <w:pPr>
              <w:pStyle w:val="NoSpacing"/>
              <w:jc w:val="center"/>
              <w:rPr>
                <w:b/>
                <w:sz w:val="20"/>
                <w:szCs w:val="20"/>
              </w:rPr>
            </w:pPr>
            <w:r>
              <w:rPr>
                <w:b/>
                <w:sz w:val="20"/>
                <w:szCs w:val="20"/>
              </w:rPr>
              <w:t>National Benchmark</w:t>
            </w:r>
          </w:p>
        </w:tc>
        <w:tc>
          <w:tcPr>
            <w:tcW w:w="1560" w:type="dxa"/>
            <w:shd w:val="clear" w:color="auto" w:fill="DBE5F1"/>
          </w:tcPr>
          <w:p w:rsidR="003413F6" w:rsidRPr="005C11FF" w:rsidRDefault="003413F6" w:rsidP="00796F3B">
            <w:pPr>
              <w:pStyle w:val="NoSpacing"/>
              <w:jc w:val="center"/>
              <w:rPr>
                <w:b/>
                <w:sz w:val="20"/>
                <w:szCs w:val="20"/>
              </w:rPr>
            </w:pPr>
            <w:r w:rsidRPr="005C11FF">
              <w:rPr>
                <w:b/>
                <w:sz w:val="20"/>
                <w:szCs w:val="20"/>
              </w:rPr>
              <w:t>Group</w:t>
            </w:r>
          </w:p>
        </w:tc>
        <w:tc>
          <w:tcPr>
            <w:tcW w:w="1984" w:type="dxa"/>
          </w:tcPr>
          <w:p w:rsidR="003413F6" w:rsidRPr="005C11FF" w:rsidRDefault="003413F6" w:rsidP="008018A3">
            <w:pPr>
              <w:pStyle w:val="NoSpacing"/>
              <w:jc w:val="center"/>
              <w:rPr>
                <w:b/>
                <w:sz w:val="20"/>
                <w:szCs w:val="20"/>
              </w:rPr>
            </w:pPr>
            <w:r>
              <w:rPr>
                <w:b/>
                <w:sz w:val="20"/>
                <w:szCs w:val="20"/>
              </w:rPr>
              <w:t>National Benchmark</w:t>
            </w:r>
          </w:p>
        </w:tc>
        <w:tc>
          <w:tcPr>
            <w:tcW w:w="1276" w:type="dxa"/>
            <w:shd w:val="clear" w:color="auto" w:fill="DBE5F1" w:themeFill="accent1" w:themeFillTint="33"/>
          </w:tcPr>
          <w:p w:rsidR="003413F6" w:rsidRPr="005C11FF" w:rsidRDefault="003413F6" w:rsidP="003413F6">
            <w:pPr>
              <w:pStyle w:val="NoSpacing"/>
              <w:jc w:val="center"/>
              <w:rPr>
                <w:b/>
                <w:sz w:val="20"/>
                <w:szCs w:val="20"/>
              </w:rPr>
            </w:pPr>
            <w:r>
              <w:rPr>
                <w:b/>
                <w:sz w:val="20"/>
                <w:szCs w:val="20"/>
              </w:rPr>
              <w:t>Group</w:t>
            </w:r>
          </w:p>
        </w:tc>
        <w:tc>
          <w:tcPr>
            <w:tcW w:w="2126" w:type="dxa"/>
          </w:tcPr>
          <w:p w:rsidR="003413F6" w:rsidRPr="005C11FF" w:rsidRDefault="003413F6" w:rsidP="003413F6">
            <w:pPr>
              <w:pStyle w:val="NoSpacing"/>
              <w:jc w:val="center"/>
              <w:rPr>
                <w:b/>
                <w:sz w:val="20"/>
                <w:szCs w:val="20"/>
              </w:rPr>
            </w:pPr>
            <w:r>
              <w:rPr>
                <w:b/>
                <w:sz w:val="20"/>
                <w:szCs w:val="20"/>
              </w:rPr>
              <w:t>National Benchmark</w:t>
            </w:r>
          </w:p>
        </w:tc>
      </w:tr>
      <w:tr w:rsidR="003413F6" w:rsidRPr="005C11FF" w:rsidTr="003413F6">
        <w:tc>
          <w:tcPr>
            <w:tcW w:w="1555" w:type="dxa"/>
            <w:shd w:val="clear" w:color="auto" w:fill="DBE5F1"/>
          </w:tcPr>
          <w:p w:rsidR="003413F6" w:rsidRPr="005C11FF" w:rsidRDefault="003413F6" w:rsidP="00796F3B">
            <w:pPr>
              <w:pStyle w:val="NoSpacing"/>
              <w:jc w:val="center"/>
              <w:rPr>
                <w:sz w:val="20"/>
                <w:szCs w:val="20"/>
              </w:rPr>
            </w:pPr>
            <w:r>
              <w:rPr>
                <w:sz w:val="20"/>
                <w:szCs w:val="20"/>
              </w:rPr>
              <w:t>64</w:t>
            </w:r>
          </w:p>
        </w:tc>
        <w:tc>
          <w:tcPr>
            <w:tcW w:w="2126" w:type="dxa"/>
          </w:tcPr>
          <w:p w:rsidR="003413F6" w:rsidRPr="005C11FF" w:rsidRDefault="003413F6" w:rsidP="00796F3B">
            <w:pPr>
              <w:pStyle w:val="NoSpacing"/>
              <w:jc w:val="center"/>
              <w:rPr>
                <w:sz w:val="20"/>
                <w:szCs w:val="20"/>
              </w:rPr>
            </w:pPr>
            <w:r>
              <w:rPr>
                <w:sz w:val="20"/>
                <w:szCs w:val="20"/>
              </w:rPr>
              <w:t>70</w:t>
            </w:r>
          </w:p>
        </w:tc>
        <w:tc>
          <w:tcPr>
            <w:tcW w:w="1559" w:type="dxa"/>
            <w:shd w:val="clear" w:color="auto" w:fill="DBE5F1"/>
          </w:tcPr>
          <w:p w:rsidR="003413F6" w:rsidRPr="005C11FF" w:rsidRDefault="003413F6" w:rsidP="00796F3B">
            <w:pPr>
              <w:pStyle w:val="NoSpacing"/>
              <w:jc w:val="center"/>
              <w:rPr>
                <w:sz w:val="20"/>
                <w:szCs w:val="20"/>
              </w:rPr>
            </w:pPr>
            <w:r>
              <w:rPr>
                <w:sz w:val="20"/>
                <w:szCs w:val="20"/>
              </w:rPr>
              <w:t>73</w:t>
            </w:r>
          </w:p>
        </w:tc>
        <w:tc>
          <w:tcPr>
            <w:tcW w:w="2126" w:type="dxa"/>
          </w:tcPr>
          <w:p w:rsidR="003413F6" w:rsidRPr="005C11FF" w:rsidRDefault="003413F6" w:rsidP="00796F3B">
            <w:pPr>
              <w:pStyle w:val="NoSpacing"/>
              <w:jc w:val="center"/>
              <w:rPr>
                <w:sz w:val="20"/>
                <w:szCs w:val="20"/>
              </w:rPr>
            </w:pPr>
            <w:r>
              <w:rPr>
                <w:sz w:val="20"/>
                <w:szCs w:val="20"/>
              </w:rPr>
              <w:t>80</w:t>
            </w:r>
          </w:p>
        </w:tc>
        <w:tc>
          <w:tcPr>
            <w:tcW w:w="1560" w:type="dxa"/>
            <w:shd w:val="clear" w:color="auto" w:fill="DBE5F1"/>
          </w:tcPr>
          <w:p w:rsidR="003413F6" w:rsidRPr="005C11FF" w:rsidRDefault="003413F6" w:rsidP="00796F3B">
            <w:pPr>
              <w:pStyle w:val="NoSpacing"/>
              <w:jc w:val="center"/>
              <w:rPr>
                <w:sz w:val="20"/>
                <w:szCs w:val="20"/>
              </w:rPr>
            </w:pPr>
            <w:r>
              <w:rPr>
                <w:sz w:val="20"/>
                <w:szCs w:val="20"/>
              </w:rPr>
              <w:t>82</w:t>
            </w:r>
          </w:p>
        </w:tc>
        <w:tc>
          <w:tcPr>
            <w:tcW w:w="1984" w:type="dxa"/>
          </w:tcPr>
          <w:p w:rsidR="003413F6" w:rsidRPr="005C11FF" w:rsidRDefault="003413F6" w:rsidP="00796F3B">
            <w:pPr>
              <w:pStyle w:val="NoSpacing"/>
              <w:jc w:val="center"/>
              <w:rPr>
                <w:sz w:val="20"/>
                <w:szCs w:val="20"/>
              </w:rPr>
            </w:pPr>
            <w:r>
              <w:rPr>
                <w:sz w:val="20"/>
                <w:szCs w:val="20"/>
              </w:rPr>
              <w:t>83</w:t>
            </w:r>
          </w:p>
        </w:tc>
        <w:tc>
          <w:tcPr>
            <w:tcW w:w="1276" w:type="dxa"/>
            <w:shd w:val="clear" w:color="auto" w:fill="DBE5F1" w:themeFill="accent1" w:themeFillTint="33"/>
          </w:tcPr>
          <w:p w:rsidR="003413F6" w:rsidRPr="005C11FF" w:rsidRDefault="003413F6" w:rsidP="00796F3B">
            <w:pPr>
              <w:pStyle w:val="NoSpacing"/>
              <w:jc w:val="center"/>
              <w:rPr>
                <w:sz w:val="20"/>
                <w:szCs w:val="20"/>
              </w:rPr>
            </w:pPr>
            <w:r>
              <w:rPr>
                <w:sz w:val="20"/>
                <w:szCs w:val="20"/>
              </w:rPr>
              <w:t>91</w:t>
            </w:r>
          </w:p>
        </w:tc>
        <w:tc>
          <w:tcPr>
            <w:tcW w:w="2126" w:type="dxa"/>
          </w:tcPr>
          <w:p w:rsidR="003413F6" w:rsidRPr="005C11FF" w:rsidRDefault="003413F6" w:rsidP="00796F3B">
            <w:pPr>
              <w:pStyle w:val="NoSpacing"/>
              <w:jc w:val="center"/>
              <w:rPr>
                <w:sz w:val="20"/>
                <w:szCs w:val="20"/>
              </w:rPr>
            </w:pPr>
            <w:r>
              <w:rPr>
                <w:sz w:val="20"/>
                <w:szCs w:val="20"/>
              </w:rPr>
              <w:t>81</w:t>
            </w:r>
          </w:p>
        </w:tc>
      </w:tr>
    </w:tbl>
    <w:p w:rsidR="000B1685" w:rsidRDefault="000B1685" w:rsidP="008018A3">
      <w:pPr>
        <w:pStyle w:val="NoSpacing"/>
        <w:rPr>
          <w:b/>
          <w:sz w:val="20"/>
          <w:szCs w:val="20"/>
        </w:rPr>
      </w:pPr>
    </w:p>
    <w:p w:rsidR="008018A3" w:rsidRPr="005C11FF" w:rsidRDefault="008018A3" w:rsidP="008018A3">
      <w:pPr>
        <w:pStyle w:val="NoSpacing"/>
        <w:rPr>
          <w:b/>
          <w:sz w:val="20"/>
          <w:szCs w:val="20"/>
        </w:rPr>
      </w:pPr>
      <w:r>
        <w:rPr>
          <w:b/>
          <w:sz w:val="20"/>
          <w:szCs w:val="20"/>
        </w:rPr>
        <w:t>Scaled Scores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126"/>
        <w:gridCol w:w="1559"/>
        <w:gridCol w:w="2126"/>
      </w:tblGrid>
      <w:tr w:rsidR="00185E94" w:rsidRPr="005C11FF" w:rsidTr="00185E94">
        <w:tc>
          <w:tcPr>
            <w:tcW w:w="3681" w:type="dxa"/>
            <w:gridSpan w:val="2"/>
          </w:tcPr>
          <w:p w:rsidR="00185E94" w:rsidRPr="005C11FF" w:rsidRDefault="00185E94" w:rsidP="00B7065D">
            <w:pPr>
              <w:pStyle w:val="NoSpacing"/>
              <w:jc w:val="center"/>
              <w:rPr>
                <w:b/>
                <w:sz w:val="20"/>
                <w:szCs w:val="20"/>
              </w:rPr>
            </w:pPr>
            <w:r w:rsidRPr="005C11FF">
              <w:rPr>
                <w:b/>
                <w:sz w:val="20"/>
                <w:szCs w:val="20"/>
              </w:rPr>
              <w:t>Reading</w:t>
            </w:r>
          </w:p>
        </w:tc>
        <w:tc>
          <w:tcPr>
            <w:tcW w:w="3685" w:type="dxa"/>
            <w:gridSpan w:val="2"/>
          </w:tcPr>
          <w:p w:rsidR="00185E94" w:rsidRPr="005C11FF" w:rsidRDefault="00185E94" w:rsidP="00B7065D">
            <w:pPr>
              <w:pStyle w:val="NoSpacing"/>
              <w:jc w:val="center"/>
              <w:rPr>
                <w:b/>
                <w:sz w:val="20"/>
                <w:szCs w:val="20"/>
              </w:rPr>
            </w:pPr>
            <w:r>
              <w:rPr>
                <w:b/>
                <w:sz w:val="20"/>
                <w:szCs w:val="20"/>
              </w:rPr>
              <w:t>Maths</w:t>
            </w:r>
          </w:p>
        </w:tc>
      </w:tr>
      <w:tr w:rsidR="00185E94" w:rsidRPr="005C11FF" w:rsidTr="00185E94">
        <w:tc>
          <w:tcPr>
            <w:tcW w:w="1555" w:type="dxa"/>
            <w:shd w:val="clear" w:color="auto" w:fill="DBE5F1"/>
          </w:tcPr>
          <w:p w:rsidR="00185E94" w:rsidRPr="005C11FF" w:rsidRDefault="00185E94" w:rsidP="007C7D91">
            <w:pPr>
              <w:pStyle w:val="NoSpacing"/>
              <w:jc w:val="center"/>
              <w:rPr>
                <w:b/>
                <w:sz w:val="20"/>
                <w:szCs w:val="20"/>
              </w:rPr>
            </w:pPr>
            <w:r w:rsidRPr="005C11FF">
              <w:rPr>
                <w:b/>
                <w:sz w:val="20"/>
                <w:szCs w:val="20"/>
              </w:rPr>
              <w:t>Group</w:t>
            </w:r>
          </w:p>
        </w:tc>
        <w:tc>
          <w:tcPr>
            <w:tcW w:w="2126" w:type="dxa"/>
          </w:tcPr>
          <w:p w:rsidR="00185E94" w:rsidRPr="005C11FF" w:rsidRDefault="00185E94" w:rsidP="007C7D91">
            <w:pPr>
              <w:pStyle w:val="NoSpacing"/>
              <w:jc w:val="center"/>
              <w:rPr>
                <w:b/>
                <w:sz w:val="20"/>
                <w:szCs w:val="20"/>
              </w:rPr>
            </w:pPr>
            <w:r>
              <w:rPr>
                <w:b/>
                <w:sz w:val="20"/>
                <w:szCs w:val="20"/>
              </w:rPr>
              <w:t>National Benchmark</w:t>
            </w:r>
          </w:p>
        </w:tc>
        <w:tc>
          <w:tcPr>
            <w:tcW w:w="1559" w:type="dxa"/>
            <w:shd w:val="clear" w:color="auto" w:fill="DBE5F1"/>
          </w:tcPr>
          <w:p w:rsidR="00185E94" w:rsidRPr="005C11FF" w:rsidRDefault="00185E94" w:rsidP="007C7D91">
            <w:pPr>
              <w:pStyle w:val="NoSpacing"/>
              <w:jc w:val="center"/>
              <w:rPr>
                <w:b/>
                <w:sz w:val="20"/>
                <w:szCs w:val="20"/>
              </w:rPr>
            </w:pPr>
            <w:r w:rsidRPr="005C11FF">
              <w:rPr>
                <w:b/>
                <w:sz w:val="20"/>
                <w:szCs w:val="20"/>
              </w:rPr>
              <w:t>Group</w:t>
            </w:r>
          </w:p>
        </w:tc>
        <w:tc>
          <w:tcPr>
            <w:tcW w:w="2126" w:type="dxa"/>
          </w:tcPr>
          <w:p w:rsidR="00185E94" w:rsidRPr="005C11FF" w:rsidRDefault="00185E94" w:rsidP="007C7D91">
            <w:pPr>
              <w:pStyle w:val="NoSpacing"/>
              <w:jc w:val="center"/>
              <w:rPr>
                <w:b/>
                <w:sz w:val="20"/>
                <w:szCs w:val="20"/>
              </w:rPr>
            </w:pPr>
            <w:r>
              <w:rPr>
                <w:b/>
                <w:sz w:val="20"/>
                <w:szCs w:val="20"/>
              </w:rPr>
              <w:t>National Benchmark</w:t>
            </w:r>
          </w:p>
        </w:tc>
      </w:tr>
      <w:tr w:rsidR="00185E94" w:rsidRPr="005C11FF" w:rsidTr="00185E94">
        <w:tc>
          <w:tcPr>
            <w:tcW w:w="1555" w:type="dxa"/>
            <w:shd w:val="clear" w:color="auto" w:fill="DBE5F1"/>
          </w:tcPr>
          <w:p w:rsidR="00185E94" w:rsidRPr="005C11FF" w:rsidRDefault="00185E94" w:rsidP="00B7065D">
            <w:pPr>
              <w:pStyle w:val="NoSpacing"/>
              <w:jc w:val="center"/>
              <w:rPr>
                <w:sz w:val="20"/>
                <w:szCs w:val="20"/>
              </w:rPr>
            </w:pPr>
            <w:r>
              <w:rPr>
                <w:sz w:val="20"/>
                <w:szCs w:val="20"/>
              </w:rPr>
              <w:t>104</w:t>
            </w:r>
          </w:p>
        </w:tc>
        <w:tc>
          <w:tcPr>
            <w:tcW w:w="2126" w:type="dxa"/>
          </w:tcPr>
          <w:p w:rsidR="00185E94" w:rsidRPr="005C11FF" w:rsidRDefault="00185E94" w:rsidP="00B7065D">
            <w:pPr>
              <w:pStyle w:val="NoSpacing"/>
              <w:jc w:val="center"/>
              <w:rPr>
                <w:sz w:val="20"/>
                <w:szCs w:val="20"/>
              </w:rPr>
            </w:pPr>
            <w:r>
              <w:rPr>
                <w:sz w:val="20"/>
                <w:szCs w:val="20"/>
              </w:rPr>
              <w:t>106</w:t>
            </w:r>
          </w:p>
        </w:tc>
        <w:tc>
          <w:tcPr>
            <w:tcW w:w="1559" w:type="dxa"/>
            <w:shd w:val="clear" w:color="auto" w:fill="DBE5F1"/>
          </w:tcPr>
          <w:p w:rsidR="00185E94" w:rsidRPr="005C11FF" w:rsidRDefault="00185E94" w:rsidP="00B7065D">
            <w:pPr>
              <w:pStyle w:val="NoSpacing"/>
              <w:jc w:val="center"/>
              <w:rPr>
                <w:sz w:val="20"/>
                <w:szCs w:val="20"/>
              </w:rPr>
            </w:pPr>
            <w:r>
              <w:rPr>
                <w:sz w:val="20"/>
                <w:szCs w:val="20"/>
              </w:rPr>
              <w:t>104</w:t>
            </w:r>
          </w:p>
        </w:tc>
        <w:tc>
          <w:tcPr>
            <w:tcW w:w="2126" w:type="dxa"/>
          </w:tcPr>
          <w:p w:rsidR="00185E94" w:rsidRPr="005C11FF" w:rsidRDefault="00185E94" w:rsidP="00B7065D">
            <w:pPr>
              <w:pStyle w:val="NoSpacing"/>
              <w:jc w:val="center"/>
              <w:rPr>
                <w:sz w:val="20"/>
                <w:szCs w:val="20"/>
              </w:rPr>
            </w:pPr>
            <w:r>
              <w:rPr>
                <w:sz w:val="20"/>
                <w:szCs w:val="20"/>
              </w:rPr>
              <w:t>105</w:t>
            </w:r>
          </w:p>
        </w:tc>
      </w:tr>
    </w:tbl>
    <w:p w:rsidR="00D40E56" w:rsidRDefault="000B1685" w:rsidP="005F43C2">
      <w:pPr>
        <w:pStyle w:val="NoSpacing"/>
        <w:rPr>
          <w:sz w:val="20"/>
          <w:szCs w:val="20"/>
        </w:rPr>
      </w:pPr>
      <w:r>
        <w:rPr>
          <w:sz w:val="20"/>
          <w:szCs w:val="20"/>
        </w:rPr>
        <w:t xml:space="preserve">The group exceeded the proportion projected to reach EXS in each of the measures with the accelerated progress in writing indicative of focused individual and group support. The group had some specific characteristics which presented particular barriers to learning and progress. However, most gaps in learning which were closed rapidly and supported achievement of EXS in most instances.  </w:t>
      </w:r>
    </w:p>
    <w:p w:rsidR="000B1685" w:rsidRDefault="000B1685" w:rsidP="005F43C2">
      <w:pPr>
        <w:pStyle w:val="NoSpacing"/>
        <w:rPr>
          <w:b/>
          <w:sz w:val="20"/>
          <w:szCs w:val="20"/>
          <w:u w:val="single"/>
        </w:rPr>
      </w:pPr>
    </w:p>
    <w:p w:rsidR="00D40E56" w:rsidRDefault="00D40E56" w:rsidP="005F43C2">
      <w:pPr>
        <w:pStyle w:val="NoSpacing"/>
        <w:rPr>
          <w:b/>
          <w:sz w:val="20"/>
          <w:szCs w:val="20"/>
          <w:u w:val="single"/>
        </w:rPr>
      </w:pPr>
    </w:p>
    <w:p w:rsidR="009E474F" w:rsidRPr="000529B0" w:rsidRDefault="009E474F" w:rsidP="005F43C2">
      <w:pPr>
        <w:pStyle w:val="NoSpacing"/>
        <w:rPr>
          <w:b/>
          <w:sz w:val="20"/>
          <w:szCs w:val="20"/>
          <w:u w:val="single"/>
        </w:rPr>
      </w:pPr>
      <w:r w:rsidRPr="000529B0">
        <w:rPr>
          <w:b/>
          <w:sz w:val="20"/>
          <w:szCs w:val="20"/>
          <w:u w:val="single"/>
        </w:rPr>
        <w:lastRenderedPageBreak/>
        <w:t>Pupil Premium Strategy 201</w:t>
      </w:r>
      <w:r w:rsidR="0053594C">
        <w:rPr>
          <w:b/>
          <w:sz w:val="20"/>
          <w:szCs w:val="20"/>
          <w:u w:val="single"/>
        </w:rPr>
        <w:t>8</w:t>
      </w:r>
      <w:r w:rsidRPr="000529B0">
        <w:rPr>
          <w:b/>
          <w:sz w:val="20"/>
          <w:szCs w:val="20"/>
          <w:u w:val="single"/>
        </w:rPr>
        <w:t>/201</w:t>
      </w:r>
      <w:r w:rsidR="0053594C">
        <w:rPr>
          <w:b/>
          <w:sz w:val="20"/>
          <w:szCs w:val="20"/>
          <w:u w:val="single"/>
        </w:rPr>
        <w:t>9</w:t>
      </w:r>
    </w:p>
    <w:p w:rsidR="009E474F" w:rsidRDefault="009E474F" w:rsidP="005F43C2">
      <w:pPr>
        <w:pStyle w:val="NoSpacing"/>
        <w:rPr>
          <w:b/>
          <w:sz w:val="20"/>
          <w:szCs w:val="20"/>
        </w:rPr>
      </w:pPr>
    </w:p>
    <w:p w:rsidR="009E474F" w:rsidRPr="00EE701D" w:rsidRDefault="009E474F" w:rsidP="009E474F">
      <w:pPr>
        <w:pStyle w:val="NoSpacing"/>
        <w:rPr>
          <w:sz w:val="20"/>
          <w:szCs w:val="20"/>
        </w:rPr>
      </w:pPr>
      <w:r w:rsidRPr="00EE701D">
        <w:rPr>
          <w:sz w:val="20"/>
          <w:szCs w:val="20"/>
        </w:rPr>
        <w:t>The allocation for the period between September 201</w:t>
      </w:r>
      <w:r w:rsidR="003F5130">
        <w:rPr>
          <w:sz w:val="20"/>
          <w:szCs w:val="20"/>
        </w:rPr>
        <w:t>8</w:t>
      </w:r>
      <w:r w:rsidRPr="00EE701D">
        <w:rPr>
          <w:sz w:val="20"/>
          <w:szCs w:val="20"/>
        </w:rPr>
        <w:t xml:space="preserve"> and March 201</w:t>
      </w:r>
      <w:r w:rsidR="003F5130">
        <w:rPr>
          <w:sz w:val="20"/>
          <w:szCs w:val="20"/>
        </w:rPr>
        <w:t>9</w:t>
      </w:r>
      <w:r w:rsidR="000529B0">
        <w:rPr>
          <w:sz w:val="20"/>
          <w:szCs w:val="20"/>
        </w:rPr>
        <w:t xml:space="preserve"> is £</w:t>
      </w:r>
      <w:r w:rsidR="003F5130">
        <w:rPr>
          <w:sz w:val="20"/>
          <w:szCs w:val="20"/>
        </w:rPr>
        <w:t>70,750</w:t>
      </w:r>
      <w:r w:rsidR="000529B0">
        <w:rPr>
          <w:sz w:val="20"/>
          <w:szCs w:val="20"/>
        </w:rPr>
        <w:t xml:space="preserve">. The planned spend, rationale for the different approaches </w:t>
      </w:r>
      <w:r w:rsidRPr="00EE701D">
        <w:rPr>
          <w:sz w:val="20"/>
          <w:szCs w:val="20"/>
        </w:rPr>
        <w:t xml:space="preserve">and </w:t>
      </w:r>
      <w:r w:rsidR="000529B0">
        <w:rPr>
          <w:sz w:val="20"/>
          <w:szCs w:val="20"/>
        </w:rPr>
        <w:t xml:space="preserve">the </w:t>
      </w:r>
      <w:r w:rsidRPr="00EE701D">
        <w:rPr>
          <w:sz w:val="20"/>
          <w:szCs w:val="20"/>
        </w:rPr>
        <w:t xml:space="preserve">intended impact </w:t>
      </w:r>
      <w:r w:rsidR="000529B0">
        <w:rPr>
          <w:sz w:val="20"/>
          <w:szCs w:val="20"/>
        </w:rPr>
        <w:t>are</w:t>
      </w:r>
      <w:r w:rsidRPr="00EE701D">
        <w:rPr>
          <w:sz w:val="20"/>
          <w:szCs w:val="20"/>
        </w:rPr>
        <w:t xml:space="preserve"> listed below.</w:t>
      </w:r>
      <w:r w:rsidR="003F5130">
        <w:rPr>
          <w:sz w:val="20"/>
          <w:szCs w:val="20"/>
        </w:rPr>
        <w:t xml:space="preserve"> The allocation for April 2019 to August 2019 will be confirmed in June 2019. </w:t>
      </w:r>
    </w:p>
    <w:p w:rsidR="009E474F" w:rsidRPr="005C11FF" w:rsidRDefault="009E474F" w:rsidP="009E474F">
      <w:pPr>
        <w:pStyle w:val="NoSpacing"/>
        <w:rPr>
          <w:b/>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3510"/>
        <w:gridCol w:w="993"/>
        <w:gridCol w:w="4110"/>
        <w:gridCol w:w="6663"/>
      </w:tblGrid>
      <w:tr w:rsidR="009E474F" w:rsidRPr="005C11FF" w:rsidTr="0032116F">
        <w:trPr>
          <w:trHeight w:val="274"/>
        </w:trPr>
        <w:tc>
          <w:tcPr>
            <w:tcW w:w="3510" w:type="dxa"/>
            <w:tcBorders>
              <w:top w:val="double" w:sz="4" w:space="0" w:color="auto"/>
              <w:left w:val="double" w:sz="4" w:space="0" w:color="auto"/>
            </w:tcBorders>
          </w:tcPr>
          <w:p w:rsidR="009E474F" w:rsidRPr="00F54628" w:rsidRDefault="0032116F" w:rsidP="00F54628">
            <w:pPr>
              <w:pStyle w:val="NoSpacing"/>
              <w:jc w:val="center"/>
              <w:rPr>
                <w:b/>
                <w:sz w:val="20"/>
                <w:szCs w:val="20"/>
              </w:rPr>
            </w:pPr>
            <w:r w:rsidRPr="00F54628">
              <w:rPr>
                <w:b/>
                <w:sz w:val="20"/>
                <w:szCs w:val="20"/>
              </w:rPr>
              <w:t>Initiative</w:t>
            </w:r>
          </w:p>
        </w:tc>
        <w:tc>
          <w:tcPr>
            <w:tcW w:w="993" w:type="dxa"/>
            <w:tcBorders>
              <w:top w:val="double" w:sz="4" w:space="0" w:color="auto"/>
              <w:bottom w:val="single" w:sz="4" w:space="0" w:color="auto"/>
            </w:tcBorders>
          </w:tcPr>
          <w:p w:rsidR="009E474F" w:rsidRPr="00F54628" w:rsidRDefault="0032116F" w:rsidP="00F54628">
            <w:pPr>
              <w:pStyle w:val="NoSpacing"/>
              <w:jc w:val="center"/>
              <w:rPr>
                <w:b/>
                <w:sz w:val="20"/>
                <w:szCs w:val="20"/>
              </w:rPr>
            </w:pPr>
            <w:r w:rsidRPr="00F54628">
              <w:rPr>
                <w:b/>
                <w:sz w:val="20"/>
                <w:szCs w:val="20"/>
              </w:rPr>
              <w:t>Cost</w:t>
            </w:r>
          </w:p>
        </w:tc>
        <w:tc>
          <w:tcPr>
            <w:tcW w:w="4110" w:type="dxa"/>
            <w:tcBorders>
              <w:top w:val="double" w:sz="4" w:space="0" w:color="auto"/>
              <w:bottom w:val="single" w:sz="4" w:space="0" w:color="auto"/>
            </w:tcBorders>
          </w:tcPr>
          <w:p w:rsidR="00C05D2B" w:rsidRPr="00F54628" w:rsidRDefault="0032116F" w:rsidP="00F54628">
            <w:pPr>
              <w:pStyle w:val="NoSpacing"/>
              <w:jc w:val="center"/>
              <w:rPr>
                <w:b/>
                <w:sz w:val="20"/>
                <w:szCs w:val="20"/>
              </w:rPr>
            </w:pPr>
            <w:r w:rsidRPr="00F54628">
              <w:rPr>
                <w:b/>
                <w:sz w:val="20"/>
                <w:szCs w:val="20"/>
              </w:rPr>
              <w:t>Method</w:t>
            </w:r>
          </w:p>
        </w:tc>
        <w:tc>
          <w:tcPr>
            <w:tcW w:w="6663" w:type="dxa"/>
            <w:tcBorders>
              <w:top w:val="double" w:sz="4" w:space="0" w:color="auto"/>
              <w:bottom w:val="single" w:sz="4" w:space="0" w:color="auto"/>
              <w:right w:val="double" w:sz="4" w:space="0" w:color="auto"/>
            </w:tcBorders>
            <w:shd w:val="clear" w:color="auto" w:fill="auto"/>
          </w:tcPr>
          <w:p w:rsidR="009E474F" w:rsidRPr="00F54628" w:rsidRDefault="0032116F" w:rsidP="00F54628">
            <w:pPr>
              <w:pStyle w:val="NoSpacing"/>
              <w:jc w:val="center"/>
              <w:rPr>
                <w:b/>
                <w:sz w:val="20"/>
                <w:szCs w:val="20"/>
              </w:rPr>
            </w:pPr>
            <w:r w:rsidRPr="00F54628">
              <w:rPr>
                <w:b/>
                <w:sz w:val="20"/>
                <w:szCs w:val="20"/>
              </w:rPr>
              <w:t>Intended Impact</w:t>
            </w:r>
          </w:p>
        </w:tc>
      </w:tr>
      <w:tr w:rsidR="0032116F" w:rsidRPr="005C11FF" w:rsidTr="006547A8">
        <w:trPr>
          <w:trHeight w:val="2760"/>
        </w:trPr>
        <w:tc>
          <w:tcPr>
            <w:tcW w:w="3510" w:type="dxa"/>
            <w:tcBorders>
              <w:top w:val="single" w:sz="4" w:space="0" w:color="auto"/>
              <w:left w:val="double" w:sz="4" w:space="0" w:color="auto"/>
            </w:tcBorders>
          </w:tcPr>
          <w:p w:rsidR="00C870A1" w:rsidRDefault="0032116F" w:rsidP="00C870A1">
            <w:pPr>
              <w:spacing w:after="0" w:line="240" w:lineRule="auto"/>
              <w:rPr>
                <w:b/>
                <w:sz w:val="20"/>
                <w:szCs w:val="20"/>
              </w:rPr>
            </w:pPr>
            <w:r w:rsidRPr="00097955">
              <w:rPr>
                <w:b/>
                <w:sz w:val="20"/>
                <w:szCs w:val="20"/>
              </w:rPr>
              <w:t>Staffing to support small group and 1:1</w:t>
            </w:r>
            <w:r w:rsidR="00C870A1">
              <w:rPr>
                <w:b/>
                <w:sz w:val="20"/>
                <w:szCs w:val="20"/>
              </w:rPr>
              <w:t xml:space="preserve"> teaching</w:t>
            </w:r>
            <w:r w:rsidRPr="00097955">
              <w:rPr>
                <w:b/>
                <w:sz w:val="20"/>
                <w:szCs w:val="20"/>
              </w:rPr>
              <w:t>. This also enables prompt action to be taken where there are pastoral concerns becau</w:t>
            </w:r>
            <w:r w:rsidR="00C870A1">
              <w:rPr>
                <w:b/>
                <w:sz w:val="20"/>
                <w:szCs w:val="20"/>
              </w:rPr>
              <w:t>se the adults know the children well</w:t>
            </w:r>
            <w:r w:rsidRPr="00097955">
              <w:rPr>
                <w:b/>
                <w:sz w:val="20"/>
                <w:szCs w:val="20"/>
              </w:rPr>
              <w:t xml:space="preserve">. </w:t>
            </w:r>
          </w:p>
          <w:p w:rsidR="0032116F" w:rsidRPr="00C870A1" w:rsidRDefault="00C870A1" w:rsidP="00C870A1">
            <w:pPr>
              <w:spacing w:after="0" w:line="240" w:lineRule="auto"/>
              <w:rPr>
                <w:b/>
                <w:i/>
                <w:sz w:val="20"/>
                <w:szCs w:val="20"/>
              </w:rPr>
            </w:pPr>
            <w:r w:rsidRPr="00C870A1">
              <w:rPr>
                <w:i/>
                <w:sz w:val="20"/>
                <w:szCs w:val="20"/>
                <w:u w:val="single"/>
              </w:rPr>
              <w:t>A high proportion of these pupils require ‘catch-up’ programmes to access the curriculum for the subsequent year group</w:t>
            </w:r>
            <w:r w:rsidR="00D931D6">
              <w:rPr>
                <w:i/>
                <w:sz w:val="20"/>
                <w:szCs w:val="20"/>
                <w:u w:val="single"/>
              </w:rPr>
              <w:t xml:space="preserve"> and support to develop the skills required for their age</w:t>
            </w:r>
            <w:r w:rsidRPr="00C870A1">
              <w:rPr>
                <w:i/>
                <w:sz w:val="20"/>
                <w:szCs w:val="20"/>
                <w:u w:val="single"/>
              </w:rPr>
              <w:t>.</w:t>
            </w:r>
          </w:p>
        </w:tc>
        <w:tc>
          <w:tcPr>
            <w:tcW w:w="993" w:type="dxa"/>
            <w:tcBorders>
              <w:top w:val="single" w:sz="4" w:space="0" w:color="auto"/>
              <w:bottom w:val="single" w:sz="4" w:space="0" w:color="auto"/>
            </w:tcBorders>
          </w:tcPr>
          <w:p w:rsidR="0032116F" w:rsidRDefault="0032116F" w:rsidP="006547A8">
            <w:pPr>
              <w:spacing w:after="0"/>
              <w:jc w:val="center"/>
              <w:rPr>
                <w:sz w:val="20"/>
                <w:szCs w:val="20"/>
              </w:rPr>
            </w:pPr>
            <w:r w:rsidRPr="00097955">
              <w:rPr>
                <w:sz w:val="20"/>
                <w:szCs w:val="20"/>
              </w:rPr>
              <w:t>£</w:t>
            </w:r>
            <w:r w:rsidR="00F16F5B">
              <w:rPr>
                <w:sz w:val="20"/>
                <w:szCs w:val="20"/>
              </w:rPr>
              <w:t>5</w:t>
            </w:r>
            <w:r w:rsidR="006547A8">
              <w:rPr>
                <w:sz w:val="20"/>
                <w:szCs w:val="20"/>
              </w:rPr>
              <w:t>3</w:t>
            </w:r>
            <w:r w:rsidR="00F16F5B">
              <w:rPr>
                <w:sz w:val="20"/>
                <w:szCs w:val="20"/>
              </w:rPr>
              <w:t>,133</w:t>
            </w:r>
          </w:p>
        </w:tc>
        <w:tc>
          <w:tcPr>
            <w:tcW w:w="4110" w:type="dxa"/>
            <w:tcBorders>
              <w:top w:val="single" w:sz="4" w:space="0" w:color="auto"/>
              <w:bottom w:val="single" w:sz="4" w:space="0" w:color="auto"/>
            </w:tcBorders>
          </w:tcPr>
          <w:p w:rsidR="0032116F" w:rsidRDefault="0032116F" w:rsidP="0032116F">
            <w:pPr>
              <w:spacing w:after="0"/>
              <w:rPr>
                <w:sz w:val="20"/>
                <w:szCs w:val="20"/>
              </w:rPr>
            </w:pPr>
            <w:r w:rsidRPr="00097955">
              <w:rPr>
                <w:sz w:val="20"/>
                <w:szCs w:val="20"/>
              </w:rPr>
              <w:t>Intervention groups led by teachers and teaching assistants in R, Wr and Ma.</w:t>
            </w:r>
          </w:p>
          <w:p w:rsidR="0032116F" w:rsidRDefault="0032116F" w:rsidP="001423D3">
            <w:pPr>
              <w:spacing w:after="0"/>
              <w:rPr>
                <w:sz w:val="20"/>
                <w:szCs w:val="20"/>
              </w:rPr>
            </w:pPr>
          </w:p>
        </w:tc>
        <w:tc>
          <w:tcPr>
            <w:tcW w:w="6663" w:type="dxa"/>
            <w:tcBorders>
              <w:top w:val="single" w:sz="4" w:space="0" w:color="auto"/>
              <w:bottom w:val="single" w:sz="4" w:space="0" w:color="auto"/>
              <w:right w:val="double" w:sz="4" w:space="0" w:color="auto"/>
            </w:tcBorders>
            <w:shd w:val="clear" w:color="auto" w:fill="auto"/>
          </w:tcPr>
          <w:p w:rsidR="0032116F" w:rsidRPr="00097955" w:rsidRDefault="0032116F" w:rsidP="0032116F">
            <w:pPr>
              <w:spacing w:after="0"/>
              <w:ind w:right="128"/>
              <w:rPr>
                <w:sz w:val="20"/>
                <w:szCs w:val="20"/>
              </w:rPr>
            </w:pPr>
            <w:r w:rsidRPr="00097955">
              <w:rPr>
                <w:b/>
                <w:sz w:val="20"/>
                <w:szCs w:val="20"/>
              </w:rPr>
              <w:t>Y6:</w:t>
            </w:r>
            <w:r w:rsidRPr="00097955">
              <w:rPr>
                <w:sz w:val="20"/>
                <w:szCs w:val="20"/>
              </w:rPr>
              <w:t xml:space="preserve"> </w:t>
            </w:r>
            <w:r>
              <w:rPr>
                <w:sz w:val="20"/>
                <w:szCs w:val="20"/>
              </w:rPr>
              <w:t>The % of children achieving the expected standard in R/Wr/Ma combined exceeds the 201</w:t>
            </w:r>
            <w:r w:rsidR="00F16F5B">
              <w:rPr>
                <w:sz w:val="20"/>
                <w:szCs w:val="20"/>
              </w:rPr>
              <w:t>8</w:t>
            </w:r>
            <w:r w:rsidR="00FA0993">
              <w:rPr>
                <w:sz w:val="20"/>
                <w:szCs w:val="20"/>
              </w:rPr>
              <w:t xml:space="preserve"> </w:t>
            </w:r>
            <w:r>
              <w:rPr>
                <w:sz w:val="20"/>
                <w:szCs w:val="20"/>
              </w:rPr>
              <w:t>national figure for all pupils (</w:t>
            </w:r>
            <w:r w:rsidR="006547A8">
              <w:rPr>
                <w:sz w:val="20"/>
                <w:szCs w:val="20"/>
              </w:rPr>
              <w:t>64</w:t>
            </w:r>
            <w:r>
              <w:rPr>
                <w:sz w:val="20"/>
                <w:szCs w:val="20"/>
              </w:rPr>
              <w:t>%).</w:t>
            </w:r>
          </w:p>
          <w:p w:rsidR="0032116F" w:rsidRPr="00097955" w:rsidRDefault="0032116F" w:rsidP="0032116F">
            <w:pPr>
              <w:spacing w:after="0"/>
              <w:ind w:right="128"/>
              <w:rPr>
                <w:sz w:val="20"/>
                <w:szCs w:val="20"/>
              </w:rPr>
            </w:pPr>
            <w:r w:rsidRPr="00097955">
              <w:rPr>
                <w:b/>
                <w:sz w:val="20"/>
                <w:szCs w:val="20"/>
              </w:rPr>
              <w:t>Y2:</w:t>
            </w:r>
            <w:r>
              <w:rPr>
                <w:sz w:val="20"/>
                <w:szCs w:val="20"/>
              </w:rPr>
              <w:t xml:space="preserve"> The % of children achieving the expected standard in R/Wr/Ma at least matches the national figure for </w:t>
            </w:r>
            <w:r w:rsidR="00FA0993">
              <w:rPr>
                <w:sz w:val="20"/>
                <w:szCs w:val="20"/>
              </w:rPr>
              <w:t xml:space="preserve">each of </w:t>
            </w:r>
            <w:r>
              <w:rPr>
                <w:sz w:val="20"/>
                <w:szCs w:val="20"/>
              </w:rPr>
              <w:t>R/Wr/Ma (</w:t>
            </w:r>
            <w:r w:rsidR="00185E94">
              <w:rPr>
                <w:sz w:val="20"/>
                <w:szCs w:val="20"/>
              </w:rPr>
              <w:t>76</w:t>
            </w:r>
            <w:r>
              <w:rPr>
                <w:sz w:val="20"/>
                <w:szCs w:val="20"/>
              </w:rPr>
              <w:t>%</w:t>
            </w:r>
            <w:r w:rsidR="00FA0993">
              <w:rPr>
                <w:sz w:val="20"/>
                <w:szCs w:val="20"/>
              </w:rPr>
              <w:t>/</w:t>
            </w:r>
            <w:r w:rsidR="00185E94">
              <w:rPr>
                <w:sz w:val="20"/>
                <w:szCs w:val="20"/>
              </w:rPr>
              <w:t>70</w:t>
            </w:r>
            <w:r w:rsidR="00FA0993">
              <w:rPr>
                <w:sz w:val="20"/>
                <w:szCs w:val="20"/>
              </w:rPr>
              <w:t>%/</w:t>
            </w:r>
            <w:r w:rsidR="00185E94">
              <w:rPr>
                <w:sz w:val="20"/>
                <w:szCs w:val="20"/>
              </w:rPr>
              <w:t>76</w:t>
            </w:r>
            <w:r w:rsidR="00FA0993">
              <w:rPr>
                <w:sz w:val="20"/>
                <w:szCs w:val="20"/>
              </w:rPr>
              <w:t>%</w:t>
            </w:r>
            <w:r>
              <w:rPr>
                <w:sz w:val="20"/>
                <w:szCs w:val="20"/>
              </w:rPr>
              <w:t>).</w:t>
            </w:r>
          </w:p>
          <w:p w:rsidR="0032116F" w:rsidRPr="00C05D2B" w:rsidRDefault="0032116F" w:rsidP="0032116F">
            <w:pPr>
              <w:spacing w:after="0"/>
              <w:ind w:right="128"/>
              <w:rPr>
                <w:sz w:val="20"/>
                <w:szCs w:val="20"/>
              </w:rPr>
            </w:pPr>
            <w:r w:rsidRPr="00097955">
              <w:rPr>
                <w:b/>
                <w:sz w:val="20"/>
                <w:szCs w:val="20"/>
              </w:rPr>
              <w:t>Y1 Phonics</w:t>
            </w:r>
            <w:r>
              <w:rPr>
                <w:b/>
                <w:sz w:val="20"/>
                <w:szCs w:val="20"/>
              </w:rPr>
              <w:t xml:space="preserve">: </w:t>
            </w:r>
            <w:r w:rsidRPr="00C05D2B">
              <w:rPr>
                <w:sz w:val="20"/>
                <w:szCs w:val="20"/>
              </w:rPr>
              <w:t>The % achieving the expected standard is above the 201</w:t>
            </w:r>
            <w:r w:rsidR="00F16F5B">
              <w:rPr>
                <w:sz w:val="20"/>
                <w:szCs w:val="20"/>
              </w:rPr>
              <w:t>8</w:t>
            </w:r>
            <w:r w:rsidRPr="00C05D2B">
              <w:rPr>
                <w:sz w:val="20"/>
                <w:szCs w:val="20"/>
              </w:rPr>
              <w:t xml:space="preserve"> national figure (</w:t>
            </w:r>
            <w:r w:rsidR="00185E94">
              <w:rPr>
                <w:sz w:val="20"/>
                <w:szCs w:val="20"/>
              </w:rPr>
              <w:t>83</w:t>
            </w:r>
            <w:r w:rsidRPr="00C05D2B">
              <w:rPr>
                <w:sz w:val="20"/>
                <w:szCs w:val="20"/>
              </w:rPr>
              <w:t>%)</w:t>
            </w:r>
          </w:p>
          <w:p w:rsidR="0032116F" w:rsidRPr="00097955" w:rsidRDefault="0032116F" w:rsidP="0032116F">
            <w:pPr>
              <w:spacing w:after="0"/>
              <w:rPr>
                <w:sz w:val="20"/>
                <w:szCs w:val="20"/>
              </w:rPr>
            </w:pPr>
            <w:r w:rsidRPr="00097955">
              <w:rPr>
                <w:b/>
                <w:sz w:val="20"/>
                <w:szCs w:val="20"/>
              </w:rPr>
              <w:t>EYFS:</w:t>
            </w:r>
            <w:r w:rsidRPr="00097955">
              <w:rPr>
                <w:sz w:val="20"/>
                <w:szCs w:val="20"/>
              </w:rPr>
              <w:t xml:space="preserve"> </w:t>
            </w:r>
            <w:r>
              <w:rPr>
                <w:sz w:val="20"/>
                <w:szCs w:val="20"/>
              </w:rPr>
              <w:t xml:space="preserve">The </w:t>
            </w:r>
            <w:r w:rsidRPr="00097955">
              <w:rPr>
                <w:sz w:val="20"/>
                <w:szCs w:val="20"/>
              </w:rPr>
              <w:t>% reach</w:t>
            </w:r>
            <w:r>
              <w:rPr>
                <w:sz w:val="20"/>
                <w:szCs w:val="20"/>
              </w:rPr>
              <w:t xml:space="preserve">ing </w:t>
            </w:r>
            <w:r w:rsidRPr="00097955">
              <w:rPr>
                <w:sz w:val="20"/>
                <w:szCs w:val="20"/>
              </w:rPr>
              <w:t xml:space="preserve">a GLD </w:t>
            </w:r>
            <w:r>
              <w:rPr>
                <w:sz w:val="20"/>
                <w:szCs w:val="20"/>
              </w:rPr>
              <w:t xml:space="preserve">is </w:t>
            </w:r>
            <w:r w:rsidR="002E029E">
              <w:rPr>
                <w:sz w:val="20"/>
                <w:szCs w:val="20"/>
              </w:rPr>
              <w:t xml:space="preserve">above the </w:t>
            </w:r>
            <w:r w:rsidR="00FA0993">
              <w:rPr>
                <w:sz w:val="20"/>
                <w:szCs w:val="20"/>
              </w:rPr>
              <w:t xml:space="preserve">overall </w:t>
            </w:r>
            <w:r w:rsidR="002E029E">
              <w:rPr>
                <w:sz w:val="20"/>
                <w:szCs w:val="20"/>
              </w:rPr>
              <w:t>figure</w:t>
            </w:r>
            <w:r>
              <w:rPr>
                <w:sz w:val="20"/>
                <w:szCs w:val="20"/>
              </w:rPr>
              <w:t xml:space="preserve"> for</w:t>
            </w:r>
            <w:r w:rsidR="002E029E">
              <w:rPr>
                <w:sz w:val="20"/>
                <w:szCs w:val="20"/>
              </w:rPr>
              <w:t xml:space="preserve"> the school in 201</w:t>
            </w:r>
            <w:r w:rsidR="00F16F5B">
              <w:rPr>
                <w:sz w:val="20"/>
                <w:szCs w:val="20"/>
              </w:rPr>
              <w:t>8</w:t>
            </w:r>
            <w:r>
              <w:rPr>
                <w:sz w:val="20"/>
                <w:szCs w:val="20"/>
              </w:rPr>
              <w:t xml:space="preserve"> </w:t>
            </w:r>
            <w:r w:rsidR="002E029E">
              <w:rPr>
                <w:sz w:val="20"/>
                <w:szCs w:val="20"/>
              </w:rPr>
              <w:t>(</w:t>
            </w:r>
            <w:r w:rsidR="005703D3">
              <w:rPr>
                <w:sz w:val="20"/>
                <w:szCs w:val="20"/>
              </w:rPr>
              <w:t>72</w:t>
            </w:r>
            <w:r w:rsidR="002E029E">
              <w:rPr>
                <w:sz w:val="20"/>
                <w:szCs w:val="20"/>
              </w:rPr>
              <w:t>%)</w:t>
            </w:r>
          </w:p>
          <w:p w:rsidR="006547A8" w:rsidRDefault="0032116F" w:rsidP="00F16F5B">
            <w:pPr>
              <w:spacing w:after="0"/>
              <w:rPr>
                <w:b/>
                <w:sz w:val="20"/>
                <w:szCs w:val="20"/>
              </w:rPr>
            </w:pPr>
            <w:r w:rsidRPr="00097955">
              <w:rPr>
                <w:b/>
                <w:sz w:val="20"/>
                <w:szCs w:val="20"/>
              </w:rPr>
              <w:t xml:space="preserve">Other: </w:t>
            </w:r>
            <w:r w:rsidRPr="00A212E1">
              <w:rPr>
                <w:sz w:val="20"/>
                <w:szCs w:val="20"/>
              </w:rPr>
              <w:t>By July 201</w:t>
            </w:r>
            <w:r w:rsidR="00F16F5B">
              <w:rPr>
                <w:sz w:val="20"/>
                <w:szCs w:val="20"/>
              </w:rPr>
              <w:t>9</w:t>
            </w:r>
            <w:r w:rsidRPr="00A212E1">
              <w:rPr>
                <w:sz w:val="20"/>
                <w:szCs w:val="20"/>
              </w:rPr>
              <w:t xml:space="preserve"> </w:t>
            </w:r>
            <w:r w:rsidR="00A212E1" w:rsidRPr="00A212E1">
              <w:rPr>
                <w:sz w:val="20"/>
                <w:szCs w:val="20"/>
              </w:rPr>
              <w:t>each</w:t>
            </w:r>
            <w:r>
              <w:rPr>
                <w:b/>
                <w:sz w:val="20"/>
                <w:szCs w:val="20"/>
              </w:rPr>
              <w:t xml:space="preserve"> </w:t>
            </w:r>
            <w:r w:rsidRPr="002E029E">
              <w:rPr>
                <w:sz w:val="20"/>
                <w:szCs w:val="20"/>
              </w:rPr>
              <w:t>g</w:t>
            </w:r>
            <w:r w:rsidRPr="00097955">
              <w:rPr>
                <w:sz w:val="20"/>
                <w:szCs w:val="20"/>
              </w:rPr>
              <w:t>r</w:t>
            </w:r>
            <w:r>
              <w:rPr>
                <w:sz w:val="20"/>
                <w:szCs w:val="20"/>
              </w:rPr>
              <w:t>oup has</w:t>
            </w:r>
            <w:r w:rsidRPr="00097955">
              <w:rPr>
                <w:sz w:val="20"/>
                <w:szCs w:val="20"/>
              </w:rPr>
              <w:t xml:space="preserve"> closed the gap with other pupils </w:t>
            </w:r>
            <w:r>
              <w:rPr>
                <w:sz w:val="20"/>
                <w:szCs w:val="20"/>
              </w:rPr>
              <w:t>as detailed in data for</w:t>
            </w:r>
            <w:r w:rsidRPr="00097955">
              <w:rPr>
                <w:sz w:val="20"/>
                <w:szCs w:val="20"/>
              </w:rPr>
              <w:t xml:space="preserve"> July 201</w:t>
            </w:r>
            <w:r w:rsidR="00F16F5B">
              <w:rPr>
                <w:sz w:val="20"/>
                <w:szCs w:val="20"/>
              </w:rPr>
              <w:t>8</w:t>
            </w:r>
            <w:r w:rsidRPr="00097955">
              <w:rPr>
                <w:sz w:val="20"/>
                <w:szCs w:val="20"/>
              </w:rPr>
              <w:t>.</w:t>
            </w:r>
          </w:p>
        </w:tc>
      </w:tr>
      <w:tr w:rsidR="006547A8" w:rsidRPr="005C11FF" w:rsidTr="00FA0993">
        <w:trPr>
          <w:trHeight w:val="875"/>
        </w:trPr>
        <w:tc>
          <w:tcPr>
            <w:tcW w:w="3510" w:type="dxa"/>
            <w:tcBorders>
              <w:top w:val="single" w:sz="4" w:space="0" w:color="auto"/>
              <w:left w:val="double" w:sz="4" w:space="0" w:color="auto"/>
            </w:tcBorders>
          </w:tcPr>
          <w:p w:rsidR="006547A8" w:rsidRDefault="006547A8" w:rsidP="00C870A1">
            <w:pPr>
              <w:spacing w:after="0" w:line="240" w:lineRule="auto"/>
              <w:rPr>
                <w:b/>
                <w:sz w:val="20"/>
                <w:szCs w:val="20"/>
              </w:rPr>
            </w:pPr>
            <w:r>
              <w:rPr>
                <w:b/>
                <w:sz w:val="20"/>
                <w:szCs w:val="20"/>
              </w:rPr>
              <w:t>Purchase of early reading and phonics materials for use in EYFS and KS1.</w:t>
            </w:r>
          </w:p>
          <w:p w:rsidR="006547A8" w:rsidRPr="006547A8" w:rsidRDefault="006547A8" w:rsidP="00C870A1">
            <w:pPr>
              <w:spacing w:after="0" w:line="240" w:lineRule="auto"/>
              <w:rPr>
                <w:i/>
                <w:sz w:val="20"/>
                <w:szCs w:val="20"/>
                <w:u w:val="single"/>
              </w:rPr>
            </w:pPr>
            <w:r w:rsidRPr="006547A8">
              <w:rPr>
                <w:i/>
                <w:sz w:val="20"/>
                <w:szCs w:val="20"/>
                <w:u w:val="single"/>
              </w:rPr>
              <w:t>A high number of disadvantaged pupils enter EYFS with skills bellows those expected for their age and this has led to a high proportion of the group leaving KS1 below age-related expectations. The picture improved significantly in 2018 but still requires attention.</w:t>
            </w:r>
          </w:p>
        </w:tc>
        <w:tc>
          <w:tcPr>
            <w:tcW w:w="993" w:type="dxa"/>
            <w:tcBorders>
              <w:top w:val="single" w:sz="4" w:space="0" w:color="auto"/>
              <w:bottom w:val="single" w:sz="4" w:space="0" w:color="auto"/>
            </w:tcBorders>
          </w:tcPr>
          <w:p w:rsidR="006547A8" w:rsidRPr="00097955" w:rsidRDefault="006547A8" w:rsidP="006547A8">
            <w:pPr>
              <w:spacing w:after="0"/>
              <w:jc w:val="center"/>
              <w:rPr>
                <w:sz w:val="20"/>
                <w:szCs w:val="20"/>
              </w:rPr>
            </w:pPr>
            <w:r>
              <w:rPr>
                <w:sz w:val="20"/>
                <w:szCs w:val="20"/>
              </w:rPr>
              <w:t>£2,000</w:t>
            </w:r>
          </w:p>
        </w:tc>
        <w:tc>
          <w:tcPr>
            <w:tcW w:w="4110" w:type="dxa"/>
            <w:tcBorders>
              <w:top w:val="single" w:sz="4" w:space="0" w:color="auto"/>
              <w:bottom w:val="single" w:sz="4" w:space="0" w:color="auto"/>
            </w:tcBorders>
          </w:tcPr>
          <w:p w:rsidR="006547A8" w:rsidRPr="00097955" w:rsidRDefault="006547A8" w:rsidP="006547A8">
            <w:pPr>
              <w:spacing w:after="0"/>
              <w:rPr>
                <w:sz w:val="20"/>
                <w:szCs w:val="20"/>
              </w:rPr>
            </w:pPr>
            <w:r>
              <w:rPr>
                <w:sz w:val="20"/>
                <w:szCs w:val="20"/>
              </w:rPr>
              <w:t>Books and resources being used in school and linked materials for home being used by families. Family workshops held to introduce these and provide parents with the confidence to support their child.</w:t>
            </w:r>
          </w:p>
        </w:tc>
        <w:tc>
          <w:tcPr>
            <w:tcW w:w="6663" w:type="dxa"/>
            <w:tcBorders>
              <w:top w:val="single" w:sz="4" w:space="0" w:color="auto"/>
              <w:bottom w:val="single" w:sz="4" w:space="0" w:color="auto"/>
              <w:right w:val="double" w:sz="4" w:space="0" w:color="auto"/>
            </w:tcBorders>
            <w:shd w:val="clear" w:color="auto" w:fill="auto"/>
          </w:tcPr>
          <w:p w:rsidR="006547A8" w:rsidRPr="00097955" w:rsidRDefault="006547A8" w:rsidP="006547A8">
            <w:pPr>
              <w:spacing w:after="0"/>
              <w:ind w:right="128"/>
              <w:rPr>
                <w:sz w:val="20"/>
                <w:szCs w:val="20"/>
              </w:rPr>
            </w:pPr>
            <w:r w:rsidRPr="006547A8">
              <w:rPr>
                <w:b/>
                <w:sz w:val="20"/>
                <w:szCs w:val="20"/>
              </w:rPr>
              <w:t>EYFS/Y1/Y2:</w:t>
            </w:r>
            <w:r>
              <w:rPr>
                <w:sz w:val="20"/>
                <w:szCs w:val="20"/>
              </w:rPr>
              <w:t xml:space="preserve"> The % of children achieving the expected standard in R/Wr at least matches the </w:t>
            </w:r>
            <w:r w:rsidR="00185E94">
              <w:rPr>
                <w:sz w:val="20"/>
                <w:szCs w:val="20"/>
              </w:rPr>
              <w:t xml:space="preserve">2018 </w:t>
            </w:r>
            <w:r>
              <w:rPr>
                <w:sz w:val="20"/>
                <w:szCs w:val="20"/>
              </w:rPr>
              <w:t xml:space="preserve">national figure for each </w:t>
            </w:r>
            <w:r w:rsidR="00185E94">
              <w:rPr>
                <w:sz w:val="20"/>
                <w:szCs w:val="20"/>
              </w:rPr>
              <w:t xml:space="preserve">at the end of KS1 </w:t>
            </w:r>
            <w:r>
              <w:rPr>
                <w:sz w:val="20"/>
                <w:szCs w:val="20"/>
              </w:rPr>
              <w:t>(</w:t>
            </w:r>
            <w:r w:rsidR="00185E94">
              <w:rPr>
                <w:sz w:val="20"/>
                <w:szCs w:val="20"/>
              </w:rPr>
              <w:t>76</w:t>
            </w:r>
            <w:r>
              <w:rPr>
                <w:sz w:val="20"/>
                <w:szCs w:val="20"/>
              </w:rPr>
              <w:t>%/</w:t>
            </w:r>
            <w:r w:rsidR="00185E94">
              <w:rPr>
                <w:sz w:val="20"/>
                <w:szCs w:val="20"/>
              </w:rPr>
              <w:t>70</w:t>
            </w:r>
            <w:r>
              <w:rPr>
                <w:sz w:val="20"/>
                <w:szCs w:val="20"/>
              </w:rPr>
              <w:t>%).</w:t>
            </w:r>
          </w:p>
          <w:p w:rsidR="006547A8" w:rsidRDefault="006547A8" w:rsidP="006547A8">
            <w:pPr>
              <w:spacing w:after="0"/>
              <w:rPr>
                <w:sz w:val="20"/>
                <w:szCs w:val="20"/>
              </w:rPr>
            </w:pPr>
          </w:p>
          <w:p w:rsidR="006547A8" w:rsidRDefault="006547A8" w:rsidP="006547A8">
            <w:pPr>
              <w:spacing w:after="0"/>
              <w:rPr>
                <w:sz w:val="20"/>
                <w:szCs w:val="20"/>
              </w:rPr>
            </w:pPr>
          </w:p>
          <w:p w:rsidR="006547A8" w:rsidRPr="00097955" w:rsidRDefault="006547A8" w:rsidP="00F16F5B">
            <w:pPr>
              <w:spacing w:after="0"/>
              <w:rPr>
                <w:b/>
                <w:sz w:val="20"/>
                <w:szCs w:val="20"/>
              </w:rPr>
            </w:pPr>
          </w:p>
        </w:tc>
      </w:tr>
      <w:tr w:rsidR="009E474F" w:rsidRPr="005C11FF" w:rsidTr="001423D3">
        <w:tc>
          <w:tcPr>
            <w:tcW w:w="3510" w:type="dxa"/>
            <w:tcBorders>
              <w:left w:val="double" w:sz="4" w:space="0" w:color="auto"/>
            </w:tcBorders>
          </w:tcPr>
          <w:p w:rsidR="00C870A1" w:rsidRDefault="00C05D2B" w:rsidP="00C870A1">
            <w:pPr>
              <w:spacing w:after="0" w:line="240" w:lineRule="auto"/>
              <w:rPr>
                <w:b/>
                <w:sz w:val="20"/>
                <w:szCs w:val="20"/>
              </w:rPr>
            </w:pPr>
            <w:r>
              <w:rPr>
                <w:b/>
                <w:sz w:val="20"/>
                <w:szCs w:val="20"/>
              </w:rPr>
              <w:t>Par</w:t>
            </w:r>
            <w:r w:rsidR="009E474F" w:rsidRPr="00097955">
              <w:rPr>
                <w:b/>
                <w:sz w:val="20"/>
                <w:szCs w:val="20"/>
              </w:rPr>
              <w:t>t</w:t>
            </w:r>
            <w:r>
              <w:rPr>
                <w:b/>
                <w:sz w:val="20"/>
                <w:szCs w:val="20"/>
              </w:rPr>
              <w:t>icipation in Beanstalk Volunteer Reader scheme to support targeted LAC pupils with individual reading tuition</w:t>
            </w:r>
            <w:r w:rsidR="009E474F" w:rsidRPr="00097955">
              <w:rPr>
                <w:b/>
                <w:sz w:val="20"/>
                <w:szCs w:val="20"/>
              </w:rPr>
              <w:t>.</w:t>
            </w:r>
            <w:r w:rsidR="00C870A1">
              <w:rPr>
                <w:b/>
                <w:sz w:val="20"/>
                <w:szCs w:val="20"/>
              </w:rPr>
              <w:t xml:space="preserve"> </w:t>
            </w:r>
          </w:p>
          <w:p w:rsidR="009E474F" w:rsidRPr="00097955" w:rsidRDefault="00C870A1" w:rsidP="00C870A1">
            <w:pPr>
              <w:spacing w:after="0" w:line="240" w:lineRule="auto"/>
              <w:rPr>
                <w:b/>
                <w:sz w:val="20"/>
                <w:szCs w:val="20"/>
              </w:rPr>
            </w:pPr>
            <w:r w:rsidRPr="00C870A1">
              <w:rPr>
                <w:i/>
                <w:sz w:val="20"/>
                <w:szCs w:val="20"/>
                <w:u w:val="single"/>
              </w:rPr>
              <w:t>These pupils require a greater degree of support to develop their confidence</w:t>
            </w:r>
            <w:r w:rsidR="00D931D6">
              <w:rPr>
                <w:i/>
                <w:sz w:val="20"/>
                <w:szCs w:val="20"/>
                <w:u w:val="single"/>
              </w:rPr>
              <w:t>, their enjoyment of reading</w:t>
            </w:r>
            <w:r w:rsidRPr="00C870A1">
              <w:rPr>
                <w:i/>
                <w:sz w:val="20"/>
                <w:szCs w:val="20"/>
                <w:u w:val="single"/>
              </w:rPr>
              <w:t xml:space="preserve"> and </w:t>
            </w:r>
            <w:r w:rsidR="00D931D6">
              <w:rPr>
                <w:i/>
                <w:sz w:val="20"/>
                <w:szCs w:val="20"/>
                <w:u w:val="single"/>
              </w:rPr>
              <w:t xml:space="preserve">their </w:t>
            </w:r>
            <w:r w:rsidRPr="00C870A1">
              <w:rPr>
                <w:i/>
                <w:sz w:val="20"/>
                <w:szCs w:val="20"/>
                <w:u w:val="single"/>
              </w:rPr>
              <w:t>skills of inference.</w:t>
            </w:r>
            <w:r>
              <w:rPr>
                <w:b/>
                <w:sz w:val="20"/>
                <w:szCs w:val="20"/>
              </w:rPr>
              <w:t xml:space="preserve"> </w:t>
            </w:r>
          </w:p>
        </w:tc>
        <w:tc>
          <w:tcPr>
            <w:tcW w:w="993" w:type="dxa"/>
            <w:tcBorders>
              <w:top w:val="single" w:sz="4" w:space="0" w:color="auto"/>
              <w:bottom w:val="single" w:sz="4" w:space="0" w:color="auto"/>
            </w:tcBorders>
          </w:tcPr>
          <w:p w:rsidR="009E474F" w:rsidRPr="00097955" w:rsidRDefault="009E474F" w:rsidP="00F16F5B">
            <w:pPr>
              <w:spacing w:after="0"/>
              <w:jc w:val="center"/>
              <w:rPr>
                <w:sz w:val="20"/>
                <w:szCs w:val="20"/>
              </w:rPr>
            </w:pPr>
            <w:r w:rsidRPr="00097955">
              <w:rPr>
                <w:sz w:val="20"/>
                <w:szCs w:val="20"/>
              </w:rPr>
              <w:t>£</w:t>
            </w:r>
            <w:r w:rsidR="00F16F5B">
              <w:rPr>
                <w:sz w:val="20"/>
                <w:szCs w:val="20"/>
              </w:rPr>
              <w:t>4</w:t>
            </w:r>
            <w:r w:rsidR="00FA0993">
              <w:rPr>
                <w:sz w:val="20"/>
                <w:szCs w:val="20"/>
              </w:rPr>
              <w:t>00</w:t>
            </w:r>
          </w:p>
        </w:tc>
        <w:tc>
          <w:tcPr>
            <w:tcW w:w="4110" w:type="dxa"/>
            <w:tcBorders>
              <w:top w:val="single" w:sz="4" w:space="0" w:color="auto"/>
              <w:bottom w:val="single" w:sz="4" w:space="0" w:color="auto"/>
            </w:tcBorders>
          </w:tcPr>
          <w:p w:rsidR="009E474F" w:rsidRPr="00097955" w:rsidRDefault="00366F30" w:rsidP="001423D3">
            <w:pPr>
              <w:spacing w:after="0"/>
              <w:rPr>
                <w:sz w:val="20"/>
                <w:szCs w:val="20"/>
              </w:rPr>
            </w:pPr>
            <w:r>
              <w:rPr>
                <w:sz w:val="20"/>
                <w:szCs w:val="20"/>
              </w:rPr>
              <w:t>Weekly 1:1 reading tuition throughout the Autumn and Spring term</w:t>
            </w:r>
            <w:r w:rsidR="009E474F" w:rsidRPr="00097955">
              <w:rPr>
                <w:sz w:val="20"/>
                <w:szCs w:val="20"/>
              </w:rPr>
              <w:t>.</w:t>
            </w:r>
          </w:p>
        </w:tc>
        <w:tc>
          <w:tcPr>
            <w:tcW w:w="6663" w:type="dxa"/>
            <w:tcBorders>
              <w:top w:val="single" w:sz="4" w:space="0" w:color="auto"/>
              <w:bottom w:val="single" w:sz="4" w:space="0" w:color="auto"/>
              <w:right w:val="double" w:sz="4" w:space="0" w:color="auto"/>
            </w:tcBorders>
            <w:shd w:val="clear" w:color="auto" w:fill="auto"/>
          </w:tcPr>
          <w:p w:rsidR="009E474F" w:rsidRPr="00097955" w:rsidRDefault="009E474F" w:rsidP="001423D3">
            <w:pPr>
              <w:spacing w:after="0"/>
              <w:ind w:right="128"/>
              <w:rPr>
                <w:sz w:val="20"/>
                <w:szCs w:val="20"/>
              </w:rPr>
            </w:pPr>
            <w:r w:rsidRPr="00097955">
              <w:rPr>
                <w:sz w:val="20"/>
                <w:szCs w:val="20"/>
              </w:rPr>
              <w:t>Reading standards improving</w:t>
            </w:r>
            <w:r w:rsidR="00366F30">
              <w:rPr>
                <w:sz w:val="20"/>
                <w:szCs w:val="20"/>
              </w:rPr>
              <w:t xml:space="preserve"> for each child</w:t>
            </w:r>
            <w:r w:rsidRPr="00097955">
              <w:rPr>
                <w:sz w:val="20"/>
                <w:szCs w:val="20"/>
              </w:rPr>
              <w:t>.</w:t>
            </w:r>
            <w:r w:rsidR="00366F30">
              <w:rPr>
                <w:sz w:val="20"/>
                <w:szCs w:val="20"/>
              </w:rPr>
              <w:t xml:space="preserve"> A positive and engaged attitude to reading evident with the impact of this being seen in pupils’ writing.</w:t>
            </w:r>
          </w:p>
        </w:tc>
      </w:tr>
      <w:tr w:rsidR="009E474F" w:rsidRPr="005C11FF" w:rsidTr="001423D3">
        <w:trPr>
          <w:trHeight w:val="670"/>
        </w:trPr>
        <w:tc>
          <w:tcPr>
            <w:tcW w:w="3510" w:type="dxa"/>
            <w:tcBorders>
              <w:left w:val="double" w:sz="4" w:space="0" w:color="auto"/>
            </w:tcBorders>
          </w:tcPr>
          <w:p w:rsidR="00C870A1" w:rsidRDefault="009E474F" w:rsidP="00C870A1">
            <w:pPr>
              <w:spacing w:after="0"/>
              <w:rPr>
                <w:b/>
                <w:sz w:val="20"/>
                <w:szCs w:val="20"/>
              </w:rPr>
            </w:pPr>
            <w:r w:rsidRPr="00097955">
              <w:rPr>
                <w:b/>
                <w:sz w:val="20"/>
                <w:szCs w:val="20"/>
              </w:rPr>
              <w:t>Provision of pastoral service to raise self-esteem for pupils and provide family support.</w:t>
            </w:r>
          </w:p>
          <w:p w:rsidR="009E474F" w:rsidRPr="00C870A1" w:rsidRDefault="00C870A1" w:rsidP="00D931D6">
            <w:pPr>
              <w:spacing w:after="0"/>
              <w:rPr>
                <w:b/>
                <w:i/>
                <w:sz w:val="20"/>
                <w:szCs w:val="20"/>
              </w:rPr>
            </w:pPr>
            <w:r w:rsidRPr="00C870A1">
              <w:rPr>
                <w:i/>
                <w:sz w:val="20"/>
                <w:szCs w:val="20"/>
                <w:u w:val="single"/>
              </w:rPr>
              <w:t xml:space="preserve">Many pupils lack confidence and </w:t>
            </w:r>
            <w:r w:rsidR="00D931D6">
              <w:rPr>
                <w:i/>
                <w:sz w:val="20"/>
                <w:szCs w:val="20"/>
                <w:u w:val="single"/>
              </w:rPr>
              <w:t xml:space="preserve">their </w:t>
            </w:r>
            <w:r w:rsidRPr="00C870A1">
              <w:rPr>
                <w:i/>
                <w:sz w:val="20"/>
                <w:szCs w:val="20"/>
                <w:u w:val="single"/>
              </w:rPr>
              <w:t>families, whilst willing to support their child</w:t>
            </w:r>
            <w:r w:rsidR="00D931D6">
              <w:rPr>
                <w:i/>
                <w:sz w:val="20"/>
                <w:szCs w:val="20"/>
                <w:u w:val="single"/>
              </w:rPr>
              <w:t xml:space="preserve">, </w:t>
            </w:r>
            <w:r w:rsidRPr="00C870A1">
              <w:rPr>
                <w:i/>
                <w:sz w:val="20"/>
                <w:szCs w:val="20"/>
                <w:u w:val="single"/>
              </w:rPr>
              <w:t xml:space="preserve">need advice and guidance to maximise </w:t>
            </w:r>
            <w:r w:rsidR="00D931D6">
              <w:rPr>
                <w:i/>
                <w:sz w:val="20"/>
                <w:szCs w:val="20"/>
                <w:u w:val="single"/>
              </w:rPr>
              <w:t>their</w:t>
            </w:r>
            <w:r w:rsidRPr="00C870A1">
              <w:rPr>
                <w:i/>
                <w:sz w:val="20"/>
                <w:szCs w:val="20"/>
                <w:u w:val="single"/>
              </w:rPr>
              <w:t xml:space="preserve"> effectiveness.</w:t>
            </w:r>
            <w:r w:rsidRPr="00C870A1">
              <w:rPr>
                <w:b/>
                <w:i/>
                <w:sz w:val="20"/>
                <w:szCs w:val="20"/>
              </w:rPr>
              <w:t xml:space="preserve"> </w:t>
            </w:r>
          </w:p>
        </w:tc>
        <w:tc>
          <w:tcPr>
            <w:tcW w:w="993" w:type="dxa"/>
            <w:tcBorders>
              <w:top w:val="single" w:sz="4" w:space="0" w:color="auto"/>
              <w:bottom w:val="single" w:sz="4" w:space="0" w:color="auto"/>
            </w:tcBorders>
          </w:tcPr>
          <w:p w:rsidR="009E474F" w:rsidRPr="00097955" w:rsidRDefault="009E474F" w:rsidP="00F16F5B">
            <w:pPr>
              <w:spacing w:after="0"/>
              <w:jc w:val="center"/>
              <w:rPr>
                <w:sz w:val="20"/>
                <w:szCs w:val="20"/>
              </w:rPr>
            </w:pPr>
            <w:r w:rsidRPr="00097955">
              <w:rPr>
                <w:sz w:val="20"/>
                <w:szCs w:val="20"/>
              </w:rPr>
              <w:t>£</w:t>
            </w:r>
            <w:r w:rsidR="00F16F5B">
              <w:rPr>
                <w:sz w:val="20"/>
                <w:szCs w:val="20"/>
              </w:rPr>
              <w:t>8</w:t>
            </w:r>
            <w:r w:rsidR="000A7907">
              <w:rPr>
                <w:sz w:val="20"/>
                <w:szCs w:val="20"/>
              </w:rPr>
              <w:t>,</w:t>
            </w:r>
            <w:r w:rsidR="00F16F5B">
              <w:rPr>
                <w:sz w:val="20"/>
                <w:szCs w:val="20"/>
              </w:rPr>
              <w:t>717</w:t>
            </w:r>
          </w:p>
        </w:tc>
        <w:tc>
          <w:tcPr>
            <w:tcW w:w="4110" w:type="dxa"/>
            <w:tcBorders>
              <w:top w:val="single" w:sz="4" w:space="0" w:color="auto"/>
              <w:bottom w:val="single" w:sz="4" w:space="0" w:color="auto"/>
            </w:tcBorders>
          </w:tcPr>
          <w:p w:rsidR="009E474F" w:rsidRPr="00097955" w:rsidRDefault="00B539B0" w:rsidP="00B539B0">
            <w:pPr>
              <w:spacing w:after="0"/>
              <w:rPr>
                <w:sz w:val="20"/>
                <w:szCs w:val="20"/>
              </w:rPr>
            </w:pPr>
            <w:r>
              <w:rPr>
                <w:sz w:val="20"/>
                <w:szCs w:val="20"/>
              </w:rPr>
              <w:t>Extended p</w:t>
            </w:r>
            <w:r w:rsidR="009E474F" w:rsidRPr="00097955">
              <w:rPr>
                <w:sz w:val="20"/>
                <w:szCs w:val="20"/>
              </w:rPr>
              <w:t xml:space="preserve">ackage </w:t>
            </w:r>
            <w:r>
              <w:rPr>
                <w:sz w:val="20"/>
                <w:szCs w:val="20"/>
              </w:rPr>
              <w:t xml:space="preserve">of </w:t>
            </w:r>
            <w:r w:rsidR="009E474F" w:rsidRPr="00097955">
              <w:rPr>
                <w:sz w:val="20"/>
                <w:szCs w:val="20"/>
              </w:rPr>
              <w:t xml:space="preserve">1:1 support for pupils and </w:t>
            </w:r>
            <w:r>
              <w:rPr>
                <w:sz w:val="20"/>
                <w:szCs w:val="20"/>
              </w:rPr>
              <w:t>carers to cater for the increased level of need seen in school in 2015/16, the increase in the number of roll and the changing nature of younger cohorts compared to those seen historically.</w:t>
            </w:r>
          </w:p>
        </w:tc>
        <w:tc>
          <w:tcPr>
            <w:tcW w:w="6663" w:type="dxa"/>
            <w:tcBorders>
              <w:top w:val="single" w:sz="4" w:space="0" w:color="auto"/>
              <w:bottom w:val="single" w:sz="4" w:space="0" w:color="auto"/>
              <w:right w:val="double" w:sz="4" w:space="0" w:color="auto"/>
            </w:tcBorders>
            <w:shd w:val="clear" w:color="auto" w:fill="auto"/>
          </w:tcPr>
          <w:p w:rsidR="009E474F" w:rsidRPr="00097955" w:rsidRDefault="009E474F" w:rsidP="0000083C">
            <w:pPr>
              <w:spacing w:after="0"/>
              <w:ind w:right="128"/>
              <w:rPr>
                <w:sz w:val="20"/>
                <w:szCs w:val="20"/>
              </w:rPr>
            </w:pPr>
            <w:r w:rsidRPr="00097955">
              <w:rPr>
                <w:sz w:val="20"/>
                <w:szCs w:val="20"/>
              </w:rPr>
              <w:t>Support in place and being provided for children an</w:t>
            </w:r>
            <w:r w:rsidR="0000083C">
              <w:rPr>
                <w:sz w:val="20"/>
                <w:szCs w:val="20"/>
              </w:rPr>
              <w:t xml:space="preserve">d families. Self-confidence of children </w:t>
            </w:r>
            <w:r w:rsidRPr="00097955">
              <w:rPr>
                <w:sz w:val="20"/>
                <w:szCs w:val="20"/>
              </w:rPr>
              <w:t>improved and engagement</w:t>
            </w:r>
            <w:r w:rsidR="0000083C">
              <w:rPr>
                <w:sz w:val="20"/>
                <w:szCs w:val="20"/>
              </w:rPr>
              <w:t xml:space="preserve"> of families</w:t>
            </w:r>
            <w:r w:rsidRPr="00097955">
              <w:rPr>
                <w:sz w:val="20"/>
                <w:szCs w:val="20"/>
              </w:rPr>
              <w:t xml:space="preserve"> is good.</w:t>
            </w:r>
          </w:p>
        </w:tc>
      </w:tr>
      <w:tr w:rsidR="009E474F" w:rsidRPr="005C11FF" w:rsidTr="001423D3">
        <w:trPr>
          <w:trHeight w:val="249"/>
        </w:trPr>
        <w:tc>
          <w:tcPr>
            <w:tcW w:w="3510" w:type="dxa"/>
            <w:tcBorders>
              <w:left w:val="double" w:sz="4" w:space="0" w:color="auto"/>
            </w:tcBorders>
          </w:tcPr>
          <w:p w:rsidR="00C870A1" w:rsidRDefault="00F16F5B" w:rsidP="001423D3">
            <w:pPr>
              <w:spacing w:after="0"/>
              <w:rPr>
                <w:b/>
                <w:sz w:val="20"/>
                <w:szCs w:val="20"/>
              </w:rPr>
            </w:pPr>
            <w:r>
              <w:rPr>
                <w:b/>
                <w:sz w:val="20"/>
                <w:szCs w:val="20"/>
              </w:rPr>
              <w:t>AHT release time for work scrutiny and pupil conferencing.</w:t>
            </w:r>
          </w:p>
          <w:p w:rsidR="009E474F" w:rsidRPr="00C870A1" w:rsidRDefault="00C870A1" w:rsidP="00F16F5B">
            <w:pPr>
              <w:spacing w:after="0"/>
              <w:rPr>
                <w:b/>
                <w:i/>
                <w:sz w:val="20"/>
                <w:szCs w:val="20"/>
              </w:rPr>
            </w:pPr>
            <w:r w:rsidRPr="00C870A1">
              <w:rPr>
                <w:i/>
                <w:sz w:val="20"/>
                <w:szCs w:val="20"/>
                <w:u w:val="single"/>
              </w:rPr>
              <w:t xml:space="preserve">There are some eligible pupils who </w:t>
            </w:r>
            <w:r w:rsidR="00F16F5B">
              <w:rPr>
                <w:i/>
                <w:sz w:val="20"/>
                <w:szCs w:val="20"/>
                <w:u w:val="single"/>
              </w:rPr>
              <w:t>demonstrate learning behaviours that</w:t>
            </w:r>
            <w:r w:rsidRPr="00C870A1">
              <w:rPr>
                <w:i/>
                <w:sz w:val="20"/>
                <w:szCs w:val="20"/>
                <w:u w:val="single"/>
              </w:rPr>
              <w:t xml:space="preserve"> compromise their access to the curriculum.</w:t>
            </w:r>
          </w:p>
        </w:tc>
        <w:tc>
          <w:tcPr>
            <w:tcW w:w="993" w:type="dxa"/>
            <w:tcBorders>
              <w:top w:val="single" w:sz="4" w:space="0" w:color="auto"/>
              <w:bottom w:val="single" w:sz="4" w:space="0" w:color="auto"/>
            </w:tcBorders>
          </w:tcPr>
          <w:p w:rsidR="009E474F" w:rsidRPr="00097955" w:rsidRDefault="009E474F" w:rsidP="00F16F5B">
            <w:pPr>
              <w:spacing w:after="0"/>
              <w:jc w:val="center"/>
              <w:rPr>
                <w:sz w:val="20"/>
                <w:szCs w:val="20"/>
              </w:rPr>
            </w:pPr>
            <w:r w:rsidRPr="00097955">
              <w:rPr>
                <w:sz w:val="20"/>
                <w:szCs w:val="20"/>
              </w:rPr>
              <w:t>£</w:t>
            </w:r>
            <w:r w:rsidR="00F16F5B">
              <w:rPr>
                <w:sz w:val="20"/>
                <w:szCs w:val="20"/>
              </w:rPr>
              <w:t>2,000</w:t>
            </w:r>
          </w:p>
        </w:tc>
        <w:tc>
          <w:tcPr>
            <w:tcW w:w="4110" w:type="dxa"/>
            <w:tcBorders>
              <w:top w:val="single" w:sz="4" w:space="0" w:color="auto"/>
              <w:bottom w:val="single" w:sz="4" w:space="0" w:color="auto"/>
            </w:tcBorders>
          </w:tcPr>
          <w:p w:rsidR="000B1685" w:rsidRDefault="00F16F5B" w:rsidP="001423D3">
            <w:pPr>
              <w:spacing w:after="0"/>
              <w:rPr>
                <w:sz w:val="20"/>
                <w:szCs w:val="20"/>
              </w:rPr>
            </w:pPr>
            <w:r>
              <w:rPr>
                <w:sz w:val="20"/>
                <w:szCs w:val="20"/>
              </w:rPr>
              <w:t>-</w:t>
            </w:r>
            <w:r w:rsidR="000B1685">
              <w:rPr>
                <w:sz w:val="20"/>
                <w:szCs w:val="20"/>
              </w:rPr>
              <w:t>Introduction of ‘PP First’ initiative across the school.</w:t>
            </w:r>
          </w:p>
          <w:p w:rsidR="009E474F" w:rsidRDefault="00F16F5B" w:rsidP="001423D3">
            <w:pPr>
              <w:spacing w:after="0"/>
              <w:rPr>
                <w:sz w:val="20"/>
                <w:szCs w:val="20"/>
              </w:rPr>
            </w:pPr>
            <w:r>
              <w:rPr>
                <w:sz w:val="20"/>
                <w:szCs w:val="20"/>
              </w:rPr>
              <w:t>AHT to analyse progress data, samples of work to inform possible interventions and guidance for staff</w:t>
            </w:r>
            <w:r w:rsidR="009E474F" w:rsidRPr="00097955">
              <w:rPr>
                <w:sz w:val="20"/>
                <w:szCs w:val="20"/>
              </w:rPr>
              <w:t>.</w:t>
            </w:r>
          </w:p>
          <w:p w:rsidR="00F16F5B" w:rsidRDefault="00F16F5B" w:rsidP="001423D3">
            <w:pPr>
              <w:spacing w:after="0"/>
              <w:rPr>
                <w:sz w:val="20"/>
                <w:szCs w:val="20"/>
              </w:rPr>
            </w:pPr>
            <w:r>
              <w:rPr>
                <w:sz w:val="20"/>
                <w:szCs w:val="20"/>
              </w:rPr>
              <w:t>-Analysis of frequency with which pupils are positively rewarded.</w:t>
            </w:r>
          </w:p>
          <w:p w:rsidR="00F16F5B" w:rsidRPr="00097955" w:rsidRDefault="00F16F5B" w:rsidP="001423D3">
            <w:pPr>
              <w:spacing w:after="0"/>
              <w:rPr>
                <w:sz w:val="20"/>
                <w:szCs w:val="20"/>
              </w:rPr>
            </w:pPr>
            <w:r>
              <w:rPr>
                <w:sz w:val="20"/>
                <w:szCs w:val="20"/>
              </w:rPr>
              <w:t>-Analysis of participation in extra-curricular activities both inside and outside school.</w:t>
            </w:r>
          </w:p>
        </w:tc>
        <w:tc>
          <w:tcPr>
            <w:tcW w:w="6663" w:type="dxa"/>
            <w:tcBorders>
              <w:top w:val="single" w:sz="4" w:space="0" w:color="auto"/>
              <w:bottom w:val="single" w:sz="4" w:space="0" w:color="auto"/>
              <w:right w:val="double" w:sz="4" w:space="0" w:color="auto"/>
            </w:tcBorders>
            <w:shd w:val="clear" w:color="auto" w:fill="auto"/>
          </w:tcPr>
          <w:p w:rsidR="009E474F" w:rsidRPr="00097955" w:rsidRDefault="0000083C" w:rsidP="00094BC4">
            <w:pPr>
              <w:spacing w:after="0"/>
              <w:ind w:right="128"/>
              <w:rPr>
                <w:sz w:val="20"/>
                <w:szCs w:val="20"/>
              </w:rPr>
            </w:pPr>
            <w:r>
              <w:rPr>
                <w:sz w:val="20"/>
                <w:szCs w:val="20"/>
              </w:rPr>
              <w:t>Access to curriculum improved; self-esteem and confidence of pupils increased; strategies complement those</w:t>
            </w:r>
            <w:r w:rsidR="00094BC4">
              <w:rPr>
                <w:sz w:val="20"/>
                <w:szCs w:val="20"/>
              </w:rPr>
              <w:t xml:space="preserve"> interventions</w:t>
            </w:r>
            <w:r>
              <w:rPr>
                <w:sz w:val="20"/>
                <w:szCs w:val="20"/>
              </w:rPr>
              <w:t xml:space="preserve"> already in place;</w:t>
            </w:r>
            <w:r w:rsidR="00094BC4">
              <w:rPr>
                <w:sz w:val="20"/>
                <w:szCs w:val="20"/>
              </w:rPr>
              <w:t xml:space="preserve"> families able to support learning at home</w:t>
            </w:r>
            <w:r w:rsidR="00F16F5B">
              <w:rPr>
                <w:sz w:val="20"/>
                <w:szCs w:val="20"/>
              </w:rPr>
              <w:t>; children receiving a rounded and enriching curriculum</w:t>
            </w:r>
            <w:r w:rsidR="009E474F" w:rsidRPr="00097955">
              <w:rPr>
                <w:sz w:val="20"/>
                <w:szCs w:val="20"/>
              </w:rPr>
              <w:t>.</w:t>
            </w:r>
          </w:p>
        </w:tc>
      </w:tr>
      <w:tr w:rsidR="009E474F" w:rsidRPr="005C11FF" w:rsidTr="001423D3">
        <w:trPr>
          <w:trHeight w:val="413"/>
        </w:trPr>
        <w:tc>
          <w:tcPr>
            <w:tcW w:w="3510" w:type="dxa"/>
            <w:tcBorders>
              <w:left w:val="double" w:sz="4" w:space="0" w:color="auto"/>
              <w:bottom w:val="single" w:sz="4" w:space="0" w:color="auto"/>
            </w:tcBorders>
          </w:tcPr>
          <w:p w:rsidR="009E474F" w:rsidRDefault="009E474F" w:rsidP="001423D3">
            <w:pPr>
              <w:spacing w:after="0" w:line="240" w:lineRule="auto"/>
              <w:rPr>
                <w:b/>
                <w:sz w:val="20"/>
                <w:szCs w:val="20"/>
              </w:rPr>
            </w:pPr>
            <w:r w:rsidRPr="00097955">
              <w:rPr>
                <w:b/>
                <w:sz w:val="20"/>
                <w:szCs w:val="20"/>
              </w:rPr>
              <w:t>Subsidies for educational visits, music tuition and transport to sporting and academic competitions.</w:t>
            </w:r>
          </w:p>
          <w:p w:rsidR="00D931D6" w:rsidRPr="00C870A1" w:rsidRDefault="00C870A1" w:rsidP="001423D3">
            <w:pPr>
              <w:spacing w:after="0" w:line="240" w:lineRule="auto"/>
              <w:rPr>
                <w:i/>
                <w:sz w:val="20"/>
                <w:szCs w:val="20"/>
                <w:u w:val="single"/>
              </w:rPr>
            </w:pPr>
            <w:r w:rsidRPr="00C870A1">
              <w:rPr>
                <w:i/>
                <w:sz w:val="20"/>
                <w:szCs w:val="20"/>
                <w:u w:val="single"/>
              </w:rPr>
              <w:t>These are an important part of the school’s curriculum provision and there are circumstances where families are unable to fund these. This strategy ensures equity of access.</w:t>
            </w:r>
          </w:p>
        </w:tc>
        <w:tc>
          <w:tcPr>
            <w:tcW w:w="993" w:type="dxa"/>
            <w:tcBorders>
              <w:top w:val="single" w:sz="4" w:space="0" w:color="auto"/>
              <w:bottom w:val="single" w:sz="4" w:space="0" w:color="auto"/>
            </w:tcBorders>
          </w:tcPr>
          <w:p w:rsidR="009E474F" w:rsidRPr="00097955" w:rsidRDefault="009E474F" w:rsidP="00FF1942">
            <w:pPr>
              <w:spacing w:after="0"/>
              <w:jc w:val="center"/>
              <w:rPr>
                <w:sz w:val="20"/>
                <w:szCs w:val="20"/>
              </w:rPr>
            </w:pPr>
            <w:r w:rsidRPr="00097955">
              <w:rPr>
                <w:sz w:val="20"/>
                <w:szCs w:val="20"/>
              </w:rPr>
              <w:t>£2,</w:t>
            </w:r>
            <w:r w:rsidR="00FF1942">
              <w:rPr>
                <w:sz w:val="20"/>
                <w:szCs w:val="20"/>
              </w:rPr>
              <w:t>500</w:t>
            </w:r>
          </w:p>
        </w:tc>
        <w:tc>
          <w:tcPr>
            <w:tcW w:w="4110" w:type="dxa"/>
            <w:tcBorders>
              <w:top w:val="single" w:sz="4" w:space="0" w:color="auto"/>
              <w:bottom w:val="single" w:sz="4" w:space="0" w:color="auto"/>
            </w:tcBorders>
          </w:tcPr>
          <w:p w:rsidR="009E474F" w:rsidRPr="00097955" w:rsidRDefault="009E474F" w:rsidP="001423D3">
            <w:pPr>
              <w:spacing w:after="0"/>
              <w:rPr>
                <w:sz w:val="20"/>
                <w:szCs w:val="20"/>
              </w:rPr>
            </w:pPr>
            <w:r w:rsidRPr="00097955">
              <w:rPr>
                <w:sz w:val="20"/>
                <w:szCs w:val="20"/>
              </w:rPr>
              <w:t>Provision allows equal access for all to wider curriculum opportuniti</w:t>
            </w:r>
            <w:bookmarkStart w:id="0" w:name="_GoBack"/>
            <w:bookmarkEnd w:id="0"/>
            <w:r w:rsidRPr="00097955">
              <w:rPr>
                <w:sz w:val="20"/>
                <w:szCs w:val="20"/>
              </w:rPr>
              <w:t>es.</w:t>
            </w:r>
          </w:p>
        </w:tc>
        <w:tc>
          <w:tcPr>
            <w:tcW w:w="6663" w:type="dxa"/>
            <w:tcBorders>
              <w:top w:val="single" w:sz="4" w:space="0" w:color="auto"/>
              <w:bottom w:val="single" w:sz="4" w:space="0" w:color="auto"/>
              <w:right w:val="double" w:sz="4" w:space="0" w:color="auto"/>
            </w:tcBorders>
            <w:shd w:val="clear" w:color="auto" w:fill="auto"/>
          </w:tcPr>
          <w:p w:rsidR="009E474F" w:rsidRPr="00097955" w:rsidRDefault="00094BC4" w:rsidP="00094BC4">
            <w:pPr>
              <w:spacing w:after="0"/>
              <w:ind w:right="128"/>
              <w:rPr>
                <w:sz w:val="20"/>
                <w:szCs w:val="20"/>
              </w:rPr>
            </w:pPr>
            <w:r>
              <w:rPr>
                <w:sz w:val="20"/>
                <w:szCs w:val="20"/>
              </w:rPr>
              <w:t xml:space="preserve">The school is able to support </w:t>
            </w:r>
            <w:r w:rsidR="00F3489A">
              <w:rPr>
                <w:sz w:val="20"/>
                <w:szCs w:val="20"/>
              </w:rPr>
              <w:t xml:space="preserve">full </w:t>
            </w:r>
            <w:r>
              <w:rPr>
                <w:sz w:val="20"/>
                <w:szCs w:val="20"/>
              </w:rPr>
              <w:t xml:space="preserve">participation in </w:t>
            </w:r>
            <w:r w:rsidR="009E474F" w:rsidRPr="00097955">
              <w:rPr>
                <w:sz w:val="20"/>
                <w:szCs w:val="20"/>
              </w:rPr>
              <w:t xml:space="preserve">visits linked to </w:t>
            </w:r>
            <w:r>
              <w:rPr>
                <w:sz w:val="20"/>
                <w:szCs w:val="20"/>
              </w:rPr>
              <w:t xml:space="preserve">the </w:t>
            </w:r>
            <w:r w:rsidR="009E474F" w:rsidRPr="00097955">
              <w:rPr>
                <w:sz w:val="20"/>
                <w:szCs w:val="20"/>
              </w:rPr>
              <w:t xml:space="preserve">curriculum </w:t>
            </w:r>
            <w:r>
              <w:rPr>
                <w:sz w:val="20"/>
                <w:szCs w:val="20"/>
              </w:rPr>
              <w:t xml:space="preserve">for specific families and fees for music tuition. These will include </w:t>
            </w:r>
            <w:r w:rsidR="009E474F" w:rsidRPr="00097955">
              <w:rPr>
                <w:sz w:val="20"/>
                <w:szCs w:val="20"/>
              </w:rPr>
              <w:t>off-site sporting activities, competitions and residential visits.</w:t>
            </w:r>
          </w:p>
        </w:tc>
      </w:tr>
      <w:tr w:rsidR="009E474F" w:rsidRPr="005C11FF" w:rsidTr="001423D3">
        <w:trPr>
          <w:trHeight w:val="229"/>
        </w:trPr>
        <w:tc>
          <w:tcPr>
            <w:tcW w:w="3510" w:type="dxa"/>
            <w:tcBorders>
              <w:left w:val="double" w:sz="4" w:space="0" w:color="auto"/>
              <w:bottom w:val="double" w:sz="4" w:space="0" w:color="auto"/>
            </w:tcBorders>
          </w:tcPr>
          <w:p w:rsidR="009E474F" w:rsidRDefault="009E474F" w:rsidP="001423D3">
            <w:pPr>
              <w:spacing w:after="0"/>
              <w:rPr>
                <w:b/>
                <w:sz w:val="20"/>
                <w:szCs w:val="20"/>
              </w:rPr>
            </w:pPr>
            <w:r w:rsidRPr="00097955">
              <w:rPr>
                <w:b/>
                <w:sz w:val="20"/>
                <w:szCs w:val="20"/>
              </w:rPr>
              <w:t xml:space="preserve">Cover for pastoral </w:t>
            </w:r>
            <w:r w:rsidR="00C870A1">
              <w:rPr>
                <w:b/>
                <w:sz w:val="20"/>
                <w:szCs w:val="20"/>
              </w:rPr>
              <w:t xml:space="preserve">and pupil progress </w:t>
            </w:r>
            <w:r w:rsidRPr="00097955">
              <w:rPr>
                <w:b/>
                <w:sz w:val="20"/>
                <w:szCs w:val="20"/>
              </w:rPr>
              <w:t xml:space="preserve">meetings every term between </w:t>
            </w:r>
            <w:r w:rsidR="00C870A1">
              <w:rPr>
                <w:b/>
                <w:sz w:val="20"/>
                <w:szCs w:val="20"/>
              </w:rPr>
              <w:t>school leaders</w:t>
            </w:r>
            <w:r w:rsidRPr="00097955">
              <w:rPr>
                <w:b/>
                <w:sz w:val="20"/>
                <w:szCs w:val="20"/>
              </w:rPr>
              <w:t xml:space="preserve"> and teachers.</w:t>
            </w:r>
          </w:p>
          <w:p w:rsidR="00C870A1" w:rsidRPr="002E029E" w:rsidRDefault="00C870A1" w:rsidP="001423D3">
            <w:pPr>
              <w:spacing w:after="0"/>
              <w:rPr>
                <w:i/>
                <w:sz w:val="20"/>
                <w:szCs w:val="20"/>
                <w:u w:val="single"/>
              </w:rPr>
            </w:pPr>
            <w:r w:rsidRPr="000529B0">
              <w:rPr>
                <w:i/>
                <w:sz w:val="20"/>
                <w:szCs w:val="20"/>
                <w:u w:val="single"/>
              </w:rPr>
              <w:t>The monitoring and discussion of the pupils’ academic and personal development is critical in enabling adults to meet children’s needs effectively</w:t>
            </w:r>
            <w:r w:rsidR="000529B0" w:rsidRPr="000529B0">
              <w:rPr>
                <w:i/>
                <w:sz w:val="20"/>
                <w:szCs w:val="20"/>
                <w:u w:val="single"/>
              </w:rPr>
              <w:t>, to share information and to implement strategies that address the different barriers to learning identified above</w:t>
            </w:r>
            <w:r w:rsidRPr="000529B0">
              <w:rPr>
                <w:i/>
                <w:sz w:val="20"/>
                <w:szCs w:val="20"/>
                <w:u w:val="single"/>
              </w:rPr>
              <w:t xml:space="preserve">.  </w:t>
            </w:r>
          </w:p>
        </w:tc>
        <w:tc>
          <w:tcPr>
            <w:tcW w:w="993" w:type="dxa"/>
            <w:tcBorders>
              <w:top w:val="single" w:sz="4" w:space="0" w:color="auto"/>
              <w:bottom w:val="double" w:sz="4" w:space="0" w:color="auto"/>
            </w:tcBorders>
          </w:tcPr>
          <w:p w:rsidR="009E474F" w:rsidRPr="00097955" w:rsidRDefault="00EE701D" w:rsidP="00FA0993">
            <w:pPr>
              <w:spacing w:after="0"/>
              <w:jc w:val="center"/>
              <w:rPr>
                <w:sz w:val="20"/>
                <w:szCs w:val="20"/>
              </w:rPr>
            </w:pPr>
            <w:r>
              <w:rPr>
                <w:sz w:val="20"/>
                <w:szCs w:val="20"/>
              </w:rPr>
              <w:t>£</w:t>
            </w:r>
            <w:r w:rsidR="00FA0993">
              <w:rPr>
                <w:sz w:val="20"/>
                <w:szCs w:val="20"/>
              </w:rPr>
              <w:t>2</w:t>
            </w:r>
            <w:r>
              <w:rPr>
                <w:sz w:val="20"/>
                <w:szCs w:val="20"/>
              </w:rPr>
              <w:t>,00</w:t>
            </w:r>
            <w:r w:rsidR="009E474F" w:rsidRPr="00097955">
              <w:rPr>
                <w:sz w:val="20"/>
                <w:szCs w:val="20"/>
              </w:rPr>
              <w:t>0</w:t>
            </w:r>
          </w:p>
        </w:tc>
        <w:tc>
          <w:tcPr>
            <w:tcW w:w="4110" w:type="dxa"/>
            <w:tcBorders>
              <w:top w:val="single" w:sz="4" w:space="0" w:color="auto"/>
              <w:bottom w:val="double" w:sz="4" w:space="0" w:color="auto"/>
            </w:tcBorders>
          </w:tcPr>
          <w:p w:rsidR="00C05D2B" w:rsidRPr="00097955" w:rsidRDefault="009E474F" w:rsidP="001423D3">
            <w:pPr>
              <w:spacing w:after="0"/>
              <w:rPr>
                <w:sz w:val="20"/>
                <w:szCs w:val="20"/>
              </w:rPr>
            </w:pPr>
            <w:r w:rsidRPr="00097955">
              <w:rPr>
                <w:sz w:val="20"/>
                <w:szCs w:val="20"/>
              </w:rPr>
              <w:t>Agenda focuses on academic progress, emotional well-being and actions to improve performance.</w:t>
            </w:r>
          </w:p>
        </w:tc>
        <w:tc>
          <w:tcPr>
            <w:tcW w:w="6663" w:type="dxa"/>
            <w:tcBorders>
              <w:top w:val="single" w:sz="4" w:space="0" w:color="auto"/>
              <w:bottom w:val="double" w:sz="4" w:space="0" w:color="auto"/>
              <w:right w:val="double" w:sz="4" w:space="0" w:color="auto"/>
            </w:tcBorders>
            <w:shd w:val="clear" w:color="auto" w:fill="auto"/>
          </w:tcPr>
          <w:p w:rsidR="009E474F" w:rsidRPr="00097955" w:rsidRDefault="00094BC4" w:rsidP="00094BC4">
            <w:pPr>
              <w:spacing w:after="0"/>
              <w:ind w:right="128"/>
              <w:rPr>
                <w:sz w:val="20"/>
                <w:szCs w:val="20"/>
              </w:rPr>
            </w:pPr>
            <w:r>
              <w:rPr>
                <w:sz w:val="20"/>
                <w:szCs w:val="20"/>
              </w:rPr>
              <w:t xml:space="preserve">Pupils meeting the National Standard for their age. </w:t>
            </w:r>
            <w:r w:rsidR="009E474F" w:rsidRPr="00097955">
              <w:rPr>
                <w:sz w:val="20"/>
                <w:szCs w:val="20"/>
              </w:rPr>
              <w:t>Teachers delivering</w:t>
            </w:r>
            <w:r>
              <w:rPr>
                <w:sz w:val="20"/>
                <w:szCs w:val="20"/>
              </w:rPr>
              <w:t xml:space="preserve"> effective</w:t>
            </w:r>
            <w:r w:rsidR="009E474F" w:rsidRPr="00097955">
              <w:rPr>
                <w:sz w:val="20"/>
                <w:szCs w:val="20"/>
              </w:rPr>
              <w:t xml:space="preserve"> strategies to improve competency and progress in basic skills as well as </w:t>
            </w:r>
            <w:r>
              <w:rPr>
                <w:sz w:val="20"/>
                <w:szCs w:val="20"/>
              </w:rPr>
              <w:t>employing</w:t>
            </w:r>
            <w:r w:rsidR="009E474F" w:rsidRPr="00097955">
              <w:rPr>
                <w:sz w:val="20"/>
                <w:szCs w:val="20"/>
              </w:rPr>
              <w:t xml:space="preserve"> strategies to remove barriers to learning.</w:t>
            </w:r>
          </w:p>
        </w:tc>
      </w:tr>
    </w:tbl>
    <w:p w:rsidR="009E474F" w:rsidRPr="009E474F" w:rsidRDefault="009E474F" w:rsidP="005F43C2">
      <w:pPr>
        <w:pStyle w:val="NoSpacing"/>
        <w:rPr>
          <w:b/>
        </w:rPr>
      </w:pPr>
    </w:p>
    <w:sectPr w:rsidR="009E474F" w:rsidRPr="009E474F" w:rsidSect="0066634E">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A00" w:rsidRDefault="00D33A00" w:rsidP="00D33A00">
      <w:pPr>
        <w:spacing w:after="0" w:line="240" w:lineRule="auto"/>
      </w:pPr>
      <w:r>
        <w:separator/>
      </w:r>
    </w:p>
  </w:endnote>
  <w:endnote w:type="continuationSeparator" w:id="0">
    <w:p w:rsidR="00D33A00" w:rsidRDefault="00D33A00" w:rsidP="00D3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A00" w:rsidRDefault="00D33A00" w:rsidP="00D33A00">
      <w:pPr>
        <w:spacing w:after="0" w:line="240" w:lineRule="auto"/>
      </w:pPr>
      <w:r>
        <w:separator/>
      </w:r>
    </w:p>
  </w:footnote>
  <w:footnote w:type="continuationSeparator" w:id="0">
    <w:p w:rsidR="00D33A00" w:rsidRDefault="00D33A00" w:rsidP="00D33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96C0F"/>
    <w:multiLevelType w:val="hybridMultilevel"/>
    <w:tmpl w:val="6906A352"/>
    <w:lvl w:ilvl="0" w:tplc="F90029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DF7E5B"/>
    <w:multiLevelType w:val="hybridMultilevel"/>
    <w:tmpl w:val="9B6E56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74"/>
    <w:rsid w:val="0000083C"/>
    <w:rsid w:val="000529B0"/>
    <w:rsid w:val="000540F0"/>
    <w:rsid w:val="00056E7D"/>
    <w:rsid w:val="00060557"/>
    <w:rsid w:val="00094BC4"/>
    <w:rsid w:val="00097955"/>
    <w:rsid w:val="000A7907"/>
    <w:rsid w:val="000B1685"/>
    <w:rsid w:val="001252F0"/>
    <w:rsid w:val="00185E94"/>
    <w:rsid w:val="001F49CB"/>
    <w:rsid w:val="00264D9B"/>
    <w:rsid w:val="00281C77"/>
    <w:rsid w:val="00296A29"/>
    <w:rsid w:val="002E029E"/>
    <w:rsid w:val="002F4B1F"/>
    <w:rsid w:val="0032116F"/>
    <w:rsid w:val="00332ECB"/>
    <w:rsid w:val="003413F6"/>
    <w:rsid w:val="00355209"/>
    <w:rsid w:val="00366F30"/>
    <w:rsid w:val="003A4B1A"/>
    <w:rsid w:val="003C0E41"/>
    <w:rsid w:val="003F5130"/>
    <w:rsid w:val="00417473"/>
    <w:rsid w:val="004B0001"/>
    <w:rsid w:val="004B2E11"/>
    <w:rsid w:val="004C70E0"/>
    <w:rsid w:val="0053594C"/>
    <w:rsid w:val="00536B11"/>
    <w:rsid w:val="005703D3"/>
    <w:rsid w:val="005854E2"/>
    <w:rsid w:val="005C11FF"/>
    <w:rsid w:val="005D6585"/>
    <w:rsid w:val="005F43C2"/>
    <w:rsid w:val="00606AE5"/>
    <w:rsid w:val="006547A8"/>
    <w:rsid w:val="0066634E"/>
    <w:rsid w:val="00781889"/>
    <w:rsid w:val="00796F3B"/>
    <w:rsid w:val="007B27A6"/>
    <w:rsid w:val="007C7D91"/>
    <w:rsid w:val="008018A3"/>
    <w:rsid w:val="008032FE"/>
    <w:rsid w:val="00817C09"/>
    <w:rsid w:val="00857D5B"/>
    <w:rsid w:val="00871F0B"/>
    <w:rsid w:val="00884958"/>
    <w:rsid w:val="008B7819"/>
    <w:rsid w:val="00962BB6"/>
    <w:rsid w:val="00977644"/>
    <w:rsid w:val="009D0FD0"/>
    <w:rsid w:val="009E474F"/>
    <w:rsid w:val="009E6074"/>
    <w:rsid w:val="009F4E7B"/>
    <w:rsid w:val="00A212E1"/>
    <w:rsid w:val="00A35C64"/>
    <w:rsid w:val="00A602C7"/>
    <w:rsid w:val="00B539B0"/>
    <w:rsid w:val="00B602CD"/>
    <w:rsid w:val="00C05D2B"/>
    <w:rsid w:val="00C870A1"/>
    <w:rsid w:val="00D11809"/>
    <w:rsid w:val="00D33A00"/>
    <w:rsid w:val="00D370F4"/>
    <w:rsid w:val="00D40E56"/>
    <w:rsid w:val="00D50C2E"/>
    <w:rsid w:val="00D73246"/>
    <w:rsid w:val="00D7458B"/>
    <w:rsid w:val="00D925D0"/>
    <w:rsid w:val="00D931D6"/>
    <w:rsid w:val="00E069A7"/>
    <w:rsid w:val="00E53B38"/>
    <w:rsid w:val="00E9274B"/>
    <w:rsid w:val="00EE701D"/>
    <w:rsid w:val="00F16F5B"/>
    <w:rsid w:val="00F3489A"/>
    <w:rsid w:val="00F525F3"/>
    <w:rsid w:val="00F54628"/>
    <w:rsid w:val="00FA0993"/>
    <w:rsid w:val="00FD299E"/>
    <w:rsid w:val="00FF1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D6C4"/>
  <w15:docId w15:val="{5456C0CE-DDC5-4C73-8BF5-049115BF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A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BB6"/>
    <w:rPr>
      <w:sz w:val="22"/>
      <w:szCs w:val="22"/>
      <w:lang w:eastAsia="en-US"/>
    </w:rPr>
  </w:style>
  <w:style w:type="table" w:styleId="TableGrid">
    <w:name w:val="Table Grid"/>
    <w:basedOn w:val="TableNormal"/>
    <w:uiPriority w:val="59"/>
    <w:rsid w:val="00962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A00"/>
    <w:rPr>
      <w:sz w:val="22"/>
      <w:szCs w:val="22"/>
      <w:lang w:eastAsia="en-US"/>
    </w:rPr>
  </w:style>
  <w:style w:type="paragraph" w:styleId="Footer">
    <w:name w:val="footer"/>
    <w:basedOn w:val="Normal"/>
    <w:link w:val="FooterChar"/>
    <w:uiPriority w:val="99"/>
    <w:unhideWhenUsed/>
    <w:rsid w:val="00D33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A00"/>
    <w:rPr>
      <w:sz w:val="22"/>
      <w:szCs w:val="22"/>
      <w:lang w:eastAsia="en-US"/>
    </w:rPr>
  </w:style>
  <w:style w:type="paragraph" w:styleId="BalloonText">
    <w:name w:val="Balloon Text"/>
    <w:basedOn w:val="Normal"/>
    <w:link w:val="BalloonTextChar"/>
    <w:uiPriority w:val="99"/>
    <w:semiHidden/>
    <w:unhideWhenUsed/>
    <w:rsid w:val="00FD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99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36930-FCCC-4377-B6C1-93DAAA3F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 Mary's B29 School</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Stuart Smith</cp:lastModifiedBy>
  <cp:revision>5</cp:revision>
  <cp:lastPrinted>2016-11-09T10:01:00Z</cp:lastPrinted>
  <dcterms:created xsi:type="dcterms:W3CDTF">2018-07-12T14:54:00Z</dcterms:created>
  <dcterms:modified xsi:type="dcterms:W3CDTF">2018-12-06T11:08:00Z</dcterms:modified>
</cp:coreProperties>
</file>